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5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 1 к Документации о закупке</w:t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требования на выполнение работ</w:t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spacing w:before="120" w:after="120"/>
        <w:jc w:val="center"/>
        <w:rPr>
          <w:i w:val="false"/>
          <w:i w:val="false"/>
          <w:iCs w:val="false"/>
        </w:rPr>
      </w:pPr>
      <w:r>
        <w:rPr>
          <w:rFonts w:eastAsia="Calibri"/>
          <w:b/>
          <w:i w:val="false"/>
          <w:iCs w:val="false"/>
          <w:sz w:val="24"/>
          <w:szCs w:val="24"/>
        </w:rPr>
        <w:t xml:space="preserve"> </w:t>
      </w:r>
      <w:r>
        <w:rPr>
          <w:rFonts w:eastAsia="Calibri"/>
          <w:b/>
          <w:i w:val="false"/>
          <w:iCs w:val="false"/>
          <w:sz w:val="24"/>
          <w:szCs w:val="24"/>
        </w:rPr>
        <w:t>ОКПД 43.39.19.190 Выполнение работ по ремонту помещений Исполнительного аппарата, расположенных по адресу: г. Хабаровск, ул. Фрунзе, 49, Шеронова, 65</w:t>
      </w:r>
    </w:p>
    <w:p>
      <w:pPr>
        <w:pStyle w:val="Normal"/>
        <w:keepNext w:val="true"/>
        <w:keepLines/>
        <w:jc w:val="center"/>
        <w:rPr>
          <w:i w:val="false"/>
          <w:i w:val="false"/>
          <w:iCs w:val="false"/>
        </w:rPr>
      </w:pPr>
      <w:r>
        <w:rPr>
          <w:rFonts w:eastAsia="Calibri"/>
          <w:b/>
          <w:i w:val="false"/>
          <w:iCs w:val="false"/>
          <w:sz w:val="24"/>
          <w:szCs w:val="24"/>
        </w:rPr>
        <w:t>Лот № 11002007-РЕМ ПРОД-2026-ДГК</w:t>
      </w:r>
    </w:p>
    <w:p>
      <w:pPr>
        <w:pStyle w:val="Normal"/>
        <w:keepNext w:val="true"/>
        <w:keepLines/>
        <w:jc w:val="center"/>
        <w:rPr>
          <w:rFonts w:eastAsia="Calibri"/>
          <w:b/>
          <w:i w:val="false"/>
          <w:i w:val="false"/>
          <w:iCs w:val="false"/>
          <w:sz w:val="24"/>
          <w:szCs w:val="24"/>
        </w:rPr>
      </w:pPr>
      <w:r>
        <w:rPr>
          <w:rFonts w:eastAsia="Calibri"/>
          <w:b/>
          <w:i w:val="false"/>
          <w:iCs w:val="false"/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</w:rPr>
          </w:pPr>
          <w:r>
            <w:fldChar w:fldCharType="begin"/>
          </w:r>
          <w:r>
            <w:rPr>
              <w:webHidden/>
              <w:rStyle w:val="Style16"/>
              <w:vanish w:val="false"/>
            </w:rPr>
            <w:instrText xml:space="preserve"> TOC \z \o "1-4" \u \h</w:instrText>
          </w:r>
          <w:r>
            <w:rPr>
              <w:webHidden/>
              <w:rStyle w:val="Style16"/>
              <w:vanish w:val="false"/>
            </w:rPr>
            <w:fldChar w:fldCharType="separate"/>
          </w:r>
          <w:hyperlink w:anchor="_Toc127778176" w:tgtFrame="#_Toc127778176">
            <w:r>
              <w:rPr>
                <w:webHidden/>
                <w:rStyle w:val="Style16"/>
                <w:vanish w:val="false"/>
              </w:rPr>
              <w:t>1.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_Toc127778176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>Общие сведения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hyperlink w:anchor="_Toc127778177" w:tgtFrame="#_Toc127778177">
            <w:r>
              <w:rPr>
                <w:webHidden/>
                <w:rStyle w:val="Style16"/>
                <w:iCs/>
                <w:vanish w:val="false"/>
                <w:sz w:val="24"/>
                <w:szCs w:val="24"/>
              </w:rPr>
              <w:t>1.1.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_Toc127778177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4"/>
                <w:szCs w:val="24"/>
              </w:rPr>
              <w:t>Обозначения и сокращения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hyperlink w:anchor="_Toc127778178" w:tgtFrame="#_Toc127778178">
            <w:r>
              <w:rPr>
                <w:webHidden/>
                <w:rStyle w:val="Style16"/>
                <w:iCs/>
                <w:vanish w:val="false"/>
                <w:sz w:val="24"/>
                <w:szCs w:val="24"/>
              </w:rPr>
              <w:t>1.2.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_Toc127778178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4"/>
                <w:szCs w:val="24"/>
              </w:rPr>
              <w:t>Наименование закупаемой продукции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hyperlink w:anchor="_Toc127778179" w:tgtFrame="#_Toc127778179">
            <w:r>
              <w:rPr>
                <w:webHidden/>
                <w:rStyle w:val="Style16"/>
                <w:iCs/>
                <w:vanish w:val="false"/>
                <w:sz w:val="24"/>
                <w:szCs w:val="24"/>
              </w:rPr>
              <w:t>1.3.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_Toc127778179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4"/>
                <w:szCs w:val="24"/>
              </w:rPr>
              <w:t>Цель выполнения работ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</w:rPr>
          </w:pPr>
          <w:hyperlink w:anchor="_Toc127778180" w:tgtFrame="#_Toc12777818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_Toc127778180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6"/>
                <w:vanish w:val="false"/>
              </w:rPr>
              <w:t>Таблица 1. Перечень объектов заказчика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hyperlink w:anchor="_Toc127778181" w:tgtFrame="#_Toc127778181">
            <w:r>
              <w:rPr>
                <w:webHidden/>
                <w:rStyle w:val="Style16"/>
                <w:iCs/>
                <w:vanish w:val="false"/>
                <w:sz w:val="24"/>
                <w:szCs w:val="24"/>
              </w:rPr>
              <w:t>1.4.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_Toc127778181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4"/>
                <w:szCs w:val="24"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</w:rPr>
          </w:pPr>
          <w:hyperlink w:anchor="_Toc127778182" w:tgtFrame="#_Toc127778182">
            <w:r>
              <w:rPr>
                <w:webHidden/>
                <w:rStyle w:val="Style16"/>
                <w:vanish w:val="false"/>
              </w:rPr>
              <w:t>2.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_Toc127778182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>Требования к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hyperlink w:anchor="_Toc127778183" w:tgtFrame="#_Toc127778183">
            <w:r>
              <w:rPr>
                <w:webHidden/>
                <w:rStyle w:val="Style16"/>
                <w:iCs/>
                <w:vanish w:val="false"/>
                <w:sz w:val="24"/>
                <w:szCs w:val="24"/>
              </w:rPr>
              <w:t>2.1.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_Toc127778183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4"/>
                <w:szCs w:val="24"/>
              </w:rPr>
              <w:t>Требования к объемам и срокам выполнения работ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hyperlink w:anchor="_Toc127778184" w:tgtFrame="#_Toc127778184">
            <w:r>
              <w:rPr>
                <w:webHidden/>
                <w:rStyle w:val="Style16"/>
                <w:vanish w:val="false"/>
                <w:sz w:val="24"/>
                <w:szCs w:val="24"/>
              </w:rPr>
              <w:t>2.1.1.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_Toc127778184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4"/>
                <w:szCs w:val="24"/>
              </w:rPr>
              <w:t>Требования к видам и объемам работ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</w:rPr>
          </w:pPr>
          <w:hyperlink w:anchor="_Toc127778185" w:tgtFrame="#_Toc12777818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_Toc127778185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6"/>
                <w:vanish w:val="false"/>
              </w:rPr>
              <w:t>Таблица 2. Перечень и объем выполняемых работ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hyperlink w:anchor="_Toc127778186" w:tgtFrame="#_Toc127778186">
            <w:r>
              <w:rPr>
                <w:webHidden/>
                <w:rStyle w:val="Style16"/>
                <w:vanish w:val="false"/>
                <w:sz w:val="24"/>
                <w:szCs w:val="24"/>
              </w:rPr>
              <w:t>2.1.2.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_Toc127778186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4"/>
                <w:szCs w:val="24"/>
              </w:rPr>
              <w:t>Требования к срокам выполнения работ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</w:rPr>
          </w:pPr>
          <w:hyperlink w:anchor="_Toc127778187" w:tgtFrame="#_Toc12777818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_Toc127778187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6"/>
                <w:vanish w:val="false"/>
              </w:rPr>
              <w:t>Таблица 3. Требования по срокам выполнения работ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hyperlink w:anchor="_Toc127778188" w:tgtFrame="#_Toc127778188">
            <w:r>
              <w:rPr>
                <w:webHidden/>
                <w:rStyle w:val="Style16"/>
                <w:iCs/>
                <w:vanish w:val="false"/>
                <w:sz w:val="24"/>
                <w:szCs w:val="24"/>
              </w:rPr>
              <w:t>2.2.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_Toc127778188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4"/>
                <w:szCs w:val="24"/>
              </w:rPr>
              <w:t>Требования к качеству работ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</w:rPr>
          </w:pPr>
          <w:hyperlink w:anchor="_Toc127778189" w:tgtFrame="#_Toc12777818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_Toc127778189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6"/>
                <w:vanish w:val="false"/>
              </w:rPr>
              <w:t>Таблица 4. Требования к качеству работ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</w:rPr>
          </w:pPr>
          <w:hyperlink w:anchor="_Toc127778190" w:tgtFrame="#_Toc127778190">
            <w:r>
              <w:rPr>
                <w:webHidden/>
                <w:rStyle w:val="Style16"/>
                <w:vanish w:val="false"/>
              </w:rPr>
              <w:t>3.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_Toc127778190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>Требования к документации по ценообразованию на этапе закупки</w:t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</w:rPr>
          </w:pPr>
          <w:hyperlink w:anchor="_Toc127778191" w:tgtFrame="#_Toc127778191">
            <w:r>
              <w:rPr>
                <w:webHidden/>
                <w:rStyle w:val="Style16"/>
                <w:vanish w:val="false"/>
              </w:rPr>
              <w:t>4.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_Toc127778191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>Требования к документации по ценообразованию на этапе заключения (исполнения) договора</w:t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hyperlink w:anchor="_Toc127778192" w:tgtFrame="#_Toc127778192">
            <w:r>
              <w:rPr>
                <w:webHidden/>
                <w:rStyle w:val="Style16"/>
                <w:iCs/>
                <w:vanish w:val="false"/>
                <w:sz w:val="24"/>
                <w:szCs w:val="24"/>
              </w:rPr>
              <w:t>4.1.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_Toc127778192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4"/>
                <w:szCs w:val="24"/>
              </w:rPr>
              <w:t>Требования к составлению сметной документации (при заключении договора):</w:t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709" w:leader="none"/>
              <w:tab w:val="left" w:pos="850" w:leader="none"/>
              <w:tab w:val="left" w:pos="992" w:leader="none"/>
              <w:tab w:val="left" w:pos="1120" w:leader="none"/>
              <w:tab w:val="right" w:pos="9911" w:leader="dot"/>
            </w:tabs>
            <w:jc w:val="left"/>
            <w:rPr>
              <w:rFonts w:ascii="Calibri" w:hAnsi="Calibri" w:eastAsia="Arial" w:cs="Arial" w:asciiTheme="minorHAnsi" w:cstheme="minorBidi" w:eastAsiaTheme="minorEastAsia" w:hAnsiTheme="minorHAnsi"/>
              <w:sz w:val="24"/>
              <w:szCs w:val="24"/>
            </w:rPr>
          </w:pPr>
          <w:hyperlink w:anchor="_Toc127778193" w:tgtFrame="#_Toc127778193">
            <w:r>
              <w:rPr>
                <w:webHidden/>
                <w:rStyle w:val="Style16"/>
                <w:iCs/>
                <w:vanish w:val="false"/>
                <w:sz w:val="24"/>
                <w:szCs w:val="24"/>
              </w:rPr>
              <w:t>4.2.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_Toc127778193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  <w:sz w:val="24"/>
                <w:szCs w:val="24"/>
              </w:rPr>
              <w:t>Требования к составлению сметной документации (на этапе исполнения договора):  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</w:rPr>
          </w:pPr>
          <w:hyperlink w:anchor="_Toc127778194" w:tgtFrame="#_Toc127778194">
            <w:r>
              <w:rPr>
                <w:webHidden/>
                <w:rStyle w:val="Style16"/>
                <w:vanish w:val="false"/>
              </w:rPr>
              <w:t>5.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_Toc127778194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>Приложения</w:t>
              <w:tab/>
              <w:t>16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6"/>
            </w:rPr>
            <w:fldChar w:fldCharType="end"/>
          </w:r>
        </w:p>
      </w:sdtContent>
    </w:sdt>
    <w:p>
      <w:pPr>
        <w:pStyle w:val="Heading2"/>
        <w:numPr>
          <w:ilvl w:val="0"/>
          <w:numId w:val="0"/>
        </w:numPr>
        <w:ind w:left="0" w:hanging="0"/>
        <w:rPr/>
      </w:pPr>
      <w:r>
        <w:rPr/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widowControl w:val="false"/>
        <w:numPr>
          <w:ilvl w:val="0"/>
          <w:numId w:val="3"/>
        </w:numPr>
        <w:tabs>
          <w:tab w:val="clear" w:pos="708"/>
          <w:tab w:val="left" w:pos="426" w:leader="none"/>
        </w:tabs>
        <w:spacing w:before="60" w:after="60"/>
        <w:ind w:left="426" w:hanging="426"/>
        <w:jc w:val="center"/>
        <w:rPr>
          <w:sz w:val="24"/>
          <w:szCs w:val="24"/>
        </w:rPr>
      </w:pPr>
      <w:bookmarkStart w:id="0" w:name="_Toc51339692"/>
      <w:bookmarkStart w:id="1" w:name="_Toc127778176"/>
      <w:r>
        <w:rPr>
          <w:sz w:val="24"/>
          <w:szCs w:val="24"/>
        </w:rPr>
        <w:t>Общие сведения</w:t>
      </w:r>
      <w:bookmarkEnd w:id="0"/>
      <w:bookmarkEnd w:id="1"/>
    </w:p>
    <w:p>
      <w:pPr>
        <w:pStyle w:val="Heading4"/>
        <w:numPr>
          <w:ilvl w:val="1"/>
          <w:numId w:val="3"/>
        </w:numPr>
        <w:rPr/>
      </w:pPr>
      <w:bookmarkStart w:id="2" w:name="_Toc46743505"/>
      <w:bookmarkStart w:id="3" w:name="_Toc127778177"/>
      <w:r>
        <w:rPr/>
        <w:t>Обозначения и сокращения</w:t>
      </w:r>
      <w:bookmarkEnd w:id="2"/>
      <w:bookmarkEnd w:id="3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952"/>
        <w:tblW w:w="9804" w:type="dxa"/>
        <w:jc w:val="left"/>
        <w:tblInd w:w="1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31"/>
        <w:gridCol w:w="8072"/>
      </w:tblGrid>
      <w:tr>
        <w:trPr/>
        <w:tc>
          <w:tcPr>
            <w:tcW w:w="1731" w:type="dxa"/>
            <w:tcBorders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ТТ</w:t>
            </w:r>
          </w:p>
        </w:tc>
        <w:tc>
          <w:tcPr>
            <w:tcW w:w="807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Технические требования</w:t>
            </w:r>
          </w:p>
        </w:tc>
      </w:tr>
      <w:tr>
        <w:trPr/>
        <w:tc>
          <w:tcPr>
            <w:tcW w:w="1731" w:type="dxa"/>
            <w:tcBorders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Style w:val="Style10"/>
                <w:b w:val="false"/>
                <w:bCs/>
                <w:i w:val="false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НДТ</w:t>
            </w:r>
          </w:p>
        </w:tc>
        <w:tc>
          <w:tcPr>
            <w:tcW w:w="807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Style w:val="Style10"/>
                <w:b w:val="false"/>
                <w:bCs/>
                <w:i w:val="false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Нормативно-техническая документация</w:t>
            </w:r>
          </w:p>
        </w:tc>
      </w:tr>
      <w:tr>
        <w:trPr/>
        <w:tc>
          <w:tcPr>
            <w:tcW w:w="1731" w:type="dxa"/>
            <w:tcBorders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Style w:val="Style10"/>
                <w:b w:val="false"/>
                <w:bCs/>
                <w:i w:val="false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СП</w:t>
            </w:r>
          </w:p>
        </w:tc>
        <w:tc>
          <w:tcPr>
            <w:tcW w:w="807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Style w:val="Style10"/>
                <w:b w:val="false"/>
                <w:bCs/>
                <w:i w:val="false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Свод правил</w:t>
            </w:r>
          </w:p>
        </w:tc>
      </w:tr>
      <w:tr>
        <w:trPr/>
        <w:tc>
          <w:tcPr>
            <w:tcW w:w="1731" w:type="dxa"/>
            <w:tcBorders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Style w:val="Style10"/>
                <w:b w:val="false"/>
                <w:bCs/>
                <w:i w:val="false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МДС</w:t>
            </w:r>
          </w:p>
        </w:tc>
        <w:tc>
          <w:tcPr>
            <w:tcW w:w="807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Style w:val="Style10"/>
                <w:b w:val="false"/>
                <w:bCs/>
                <w:i w:val="false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Методические документы в строительстве</w:t>
            </w:r>
          </w:p>
        </w:tc>
      </w:tr>
      <w:tr>
        <w:trPr/>
        <w:tc>
          <w:tcPr>
            <w:tcW w:w="1731" w:type="dxa"/>
            <w:tcBorders/>
          </w:tcPr>
          <w:p>
            <w:pPr>
              <w:pStyle w:val="Normal"/>
              <w:widowControl w:val="false"/>
              <w:spacing w:before="60" w:after="60"/>
              <w:jc w:val="left"/>
              <w:rPr>
                <w:rStyle w:val="Style10"/>
                <w:b w:val="false"/>
                <w:bCs/>
                <w:i w:val="false"/>
                <w:i w:val="false"/>
                <w:iCs/>
                <w:sz w:val="24"/>
                <w:szCs w:val="24"/>
                <w:shd w:fill="FFFFFF" w:val="clear"/>
              </w:rPr>
            </w:pPr>
            <w:r>
              <w:rPr>
                <w:rStyle w:val="Style10"/>
                <w:b w:val="false"/>
                <w:bCs/>
                <w:i w:val="false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ВСН</w:t>
            </w:r>
          </w:p>
        </w:tc>
        <w:tc>
          <w:tcPr>
            <w:tcW w:w="807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Style w:val="Style10"/>
                <w:b w:val="false"/>
                <w:bCs/>
                <w:i w:val="false"/>
                <w:i w:val="false"/>
                <w:iCs/>
                <w:sz w:val="24"/>
                <w:szCs w:val="24"/>
                <w:shd w:fill="FFFFFF" w:val="clear"/>
              </w:rPr>
            </w:pPr>
            <w:r>
              <w:rPr>
                <w:rStyle w:val="Style10"/>
                <w:b w:val="false"/>
                <w:bCs/>
                <w:i w:val="false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Ведомственные строительные нормы</w:t>
            </w:r>
          </w:p>
        </w:tc>
      </w:tr>
      <w:tr>
        <w:trPr/>
        <w:tc>
          <w:tcPr>
            <w:tcW w:w="1731" w:type="dxa"/>
            <w:tcBorders/>
          </w:tcPr>
          <w:p>
            <w:pPr>
              <w:pStyle w:val="Normal"/>
              <w:widowControl w:val="false"/>
              <w:spacing w:before="60" w:after="60"/>
              <w:jc w:val="left"/>
              <w:rPr>
                <w:rStyle w:val="Style10"/>
                <w:b w:val="false"/>
                <w:bCs/>
                <w:i w:val="false"/>
                <w:i w:val="false"/>
                <w:iCs/>
                <w:sz w:val="24"/>
                <w:szCs w:val="24"/>
                <w:shd w:fill="FFFFFF" w:val="clear"/>
              </w:rPr>
            </w:pPr>
            <w:r>
              <w:rPr>
                <w:rStyle w:val="Style10"/>
                <w:b w:val="false"/>
                <w:bCs/>
                <w:i w:val="false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СТО</w:t>
            </w:r>
          </w:p>
        </w:tc>
        <w:tc>
          <w:tcPr>
            <w:tcW w:w="807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Style w:val="Style10"/>
                <w:b w:val="false"/>
                <w:bCs/>
                <w:i w:val="false"/>
                <w:i w:val="false"/>
                <w:iCs/>
                <w:sz w:val="24"/>
                <w:szCs w:val="24"/>
                <w:shd w:fill="FFFFFF" w:val="clear"/>
              </w:rPr>
            </w:pPr>
            <w:r>
              <w:rPr>
                <w:rStyle w:val="Style10"/>
                <w:b w:val="false"/>
                <w:bCs/>
                <w:i w:val="false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Стандарт организации</w:t>
            </w:r>
          </w:p>
        </w:tc>
      </w:tr>
      <w:tr>
        <w:trPr/>
        <w:tc>
          <w:tcPr>
            <w:tcW w:w="1731" w:type="dxa"/>
            <w:tcBorders/>
          </w:tcPr>
          <w:p>
            <w:pPr>
              <w:pStyle w:val="Normal"/>
              <w:widowControl w:val="false"/>
              <w:spacing w:before="60" w:after="60"/>
              <w:jc w:val="left"/>
              <w:rPr>
                <w:rStyle w:val="Style10"/>
                <w:b w:val="false"/>
                <w:bCs/>
                <w:i w:val="false"/>
                <w:i w:val="false"/>
                <w:iCs/>
                <w:sz w:val="24"/>
                <w:szCs w:val="24"/>
                <w:shd w:fill="FFFFFF" w:val="clear"/>
              </w:rPr>
            </w:pPr>
            <w:r>
              <w:rPr>
                <w:rStyle w:val="Style10"/>
                <w:b w:val="false"/>
                <w:bCs/>
                <w:i w:val="false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РД</w:t>
            </w:r>
          </w:p>
        </w:tc>
        <w:tc>
          <w:tcPr>
            <w:tcW w:w="807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Style w:val="Style10"/>
                <w:b w:val="false"/>
                <w:bCs/>
                <w:i w:val="false"/>
                <w:i w:val="false"/>
                <w:iCs/>
                <w:sz w:val="24"/>
                <w:szCs w:val="24"/>
                <w:shd w:fill="FFFFFF" w:val="clear"/>
              </w:rPr>
            </w:pPr>
            <w:r>
              <w:rPr>
                <w:rStyle w:val="Style10"/>
                <w:b w:val="false"/>
                <w:bCs/>
                <w:i w:val="false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Рабочая документация</w:t>
            </w:r>
          </w:p>
        </w:tc>
      </w:tr>
      <w:tr>
        <w:trPr/>
        <w:tc>
          <w:tcPr>
            <w:tcW w:w="1731" w:type="dxa"/>
            <w:tcBorders/>
          </w:tcPr>
          <w:p>
            <w:pPr>
              <w:pStyle w:val="Normal"/>
              <w:widowControl w:val="false"/>
              <w:spacing w:before="60" w:after="60"/>
              <w:jc w:val="left"/>
              <w:rPr>
                <w:rStyle w:val="Style10"/>
                <w:b w:val="false"/>
                <w:bCs/>
                <w:i w:val="false"/>
                <w:i w:val="false"/>
                <w:iCs/>
                <w:sz w:val="24"/>
                <w:szCs w:val="24"/>
                <w:shd w:fill="FFFFFF" w:val="clear"/>
              </w:rPr>
            </w:pPr>
            <w:r>
              <w:rPr>
                <w:rStyle w:val="Style10"/>
                <w:b w:val="false"/>
                <w:bCs/>
                <w:i w:val="false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СНиП</w:t>
            </w:r>
          </w:p>
        </w:tc>
        <w:tc>
          <w:tcPr>
            <w:tcW w:w="807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Style w:val="Style10"/>
                <w:b w:val="false"/>
                <w:bCs/>
                <w:i w:val="false"/>
                <w:i w:val="false"/>
                <w:iCs/>
                <w:sz w:val="24"/>
                <w:szCs w:val="24"/>
                <w:shd w:fill="FFFFFF" w:val="clear"/>
                <w:lang w:val="en-US"/>
              </w:rPr>
            </w:pPr>
            <w:r>
              <w:rPr>
                <w:rStyle w:val="Style10"/>
                <w:b w:val="false"/>
                <w:bCs/>
                <w:i w:val="false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Строительные нормы и правила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4" w:name="_Toc46743506"/>
      <w:bookmarkStart w:id="5" w:name="_Toc127778178"/>
      <w:r>
        <w:rPr/>
        <w:t>Наименование закупаемой продукции</w:t>
      </w:r>
      <w:bookmarkEnd w:id="4"/>
      <w:bookmarkEnd w:id="5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</w:t>
      </w:r>
      <w:r>
        <w:rPr>
          <w:rFonts w:eastAsia="Calibri"/>
          <w:sz w:val="24"/>
          <w:szCs w:val="24"/>
        </w:rPr>
        <w:t>ОКПД 43.39.19.190 Выполнение работ по ремонту помещений Исполнительного аппарата, расположенных по адресу: г. Хабаровск, ул. Фрунзе, 49, Шеронова, 65.</w:t>
      </w:r>
    </w:p>
    <w:p>
      <w:pPr>
        <w:pStyle w:val="Heading4"/>
        <w:numPr>
          <w:ilvl w:val="1"/>
          <w:numId w:val="3"/>
        </w:numPr>
        <w:rPr/>
      </w:pPr>
      <w:bookmarkStart w:id="6" w:name="_Toc127778179"/>
      <w:r>
        <w:rPr/>
        <w:t>Цель выполнения работ</w:t>
      </w:r>
      <w:bookmarkEnd w:id="6"/>
    </w:p>
    <w:p>
      <w:pPr>
        <w:pStyle w:val="Normal"/>
        <w:jc w:val="both"/>
        <w:rPr>
          <w:rFonts w:eastAsia="Calibri"/>
          <w:sz w:val="24"/>
          <w:szCs w:val="24"/>
        </w:rPr>
      </w:pPr>
      <w:bookmarkStart w:id="7" w:name="_Toc46743508"/>
      <w:bookmarkStart w:id="8" w:name="_Toc54646399"/>
      <w:bookmarkEnd w:id="7"/>
      <w:bookmarkEnd w:id="8"/>
      <w:r>
        <w:rPr>
          <w:rFonts w:eastAsia="Calibri"/>
          <w:sz w:val="24"/>
          <w:szCs w:val="24"/>
        </w:rPr>
        <w:t xml:space="preserve">       </w:t>
      </w:r>
      <w:r>
        <w:rPr>
          <w:rFonts w:eastAsia="Calibri"/>
          <w:sz w:val="24"/>
          <w:szCs w:val="24"/>
        </w:rPr>
        <w:t>Целью работы является приведение в нормативно-техническое состояние помещений в зданиях Исполнительного аппарата для повышения эксплуатационной надёжности.</w:t>
      </w:r>
    </w:p>
    <w:p>
      <w:pPr>
        <w:pStyle w:val="Heading1"/>
        <w:numPr>
          <w:ilvl w:val="0"/>
          <w:numId w:val="0"/>
        </w:numPr>
        <w:ind w:left="0" w:hanging="0"/>
        <w:rPr>
          <w:rStyle w:val="Style10"/>
          <w:b/>
          <w:i w:val="false"/>
          <w:i w:val="false"/>
          <w:sz w:val="24"/>
          <w:szCs w:val="24"/>
          <w:shd w:fill="auto" w:val="clear"/>
        </w:rPr>
      </w:pPr>
      <w:bookmarkStart w:id="9" w:name="_Toc127778180"/>
      <w:bookmarkStart w:id="10" w:name="_Toc46743508_Копия_1"/>
      <w:bookmarkStart w:id="11" w:name="_Toc54646399_Копия_1"/>
      <w:bookmarkEnd w:id="10"/>
      <w:bookmarkEnd w:id="11"/>
      <w:r>
        <w:rPr>
          <w:sz w:val="24"/>
          <w:szCs w:val="24"/>
        </w:rPr>
        <w:t>Таблица 1. Перечень объектов заказчика</w:t>
      </w:r>
      <w:bookmarkEnd w:id="9"/>
    </w:p>
    <w:tbl>
      <w:tblPr>
        <w:tblW w:w="99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62"/>
        <w:gridCol w:w="2410"/>
        <w:gridCol w:w="2693"/>
        <w:gridCol w:w="2692"/>
        <w:gridCol w:w="1561"/>
      </w:tblGrid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775" w:hRule="atLeas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Cs/>
                <w:i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Помещения зданий Исполнительного аппарата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680000, Хабаровский край, г. Хабаровск, ул. Фрунзе, 49 и Шеронова, 65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Административные здания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Heading4"/>
        <w:numPr>
          <w:ilvl w:val="1"/>
          <w:numId w:val="3"/>
        </w:numPr>
        <w:ind w:left="0" w:hanging="0"/>
        <w:rPr/>
      </w:pPr>
      <w:bookmarkStart w:id="12" w:name="_Toc46743509"/>
      <w:bookmarkStart w:id="13" w:name="_Hlk49857604"/>
      <w:bookmarkStart w:id="14" w:name="_Toc54646401"/>
      <w:bookmarkStart w:id="15" w:name="_Toc127778181"/>
      <w:r>
        <w:rPr/>
        <w:t xml:space="preserve">Информация в отношении исполнения договора, </w:t>
      </w:r>
      <w:bookmarkStart w:id="16" w:name="_Hlk46492347"/>
      <w:r>
        <w:rPr/>
        <w:t xml:space="preserve">которая должна быть учтена при подготовке заявки </w:t>
      </w:r>
      <w:bookmarkEnd w:id="16"/>
      <w:r>
        <w:rPr/>
        <w:t>(в том числе перечень ресурсов, услуг и документов, предоставляемых заказчиком на этапе исполнения договора)</w:t>
      </w:r>
      <w:bookmarkEnd w:id="12"/>
      <w:bookmarkEnd w:id="13"/>
      <w:bookmarkEnd w:id="14"/>
      <w:bookmarkEnd w:id="15"/>
    </w:p>
    <w:p>
      <w:pPr>
        <w:pStyle w:val="Normal"/>
        <w:ind w:firstLine="567"/>
        <w:jc w:val="both"/>
        <w:rPr>
          <w:rFonts w:eastAsia="Calibri"/>
          <w:sz w:val="24"/>
          <w:szCs w:val="24"/>
        </w:rPr>
      </w:pPr>
      <w:bookmarkStart w:id="17" w:name="_Toc54646402"/>
      <w:r>
        <w:rPr>
          <w:rFonts w:eastAsia="Calibri"/>
          <w:sz w:val="24"/>
          <w:szCs w:val="24"/>
        </w:rPr>
        <w:t>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выполнения Работ по Договору.</w:t>
      </w:r>
      <w:bookmarkEnd w:id="17"/>
    </w:p>
    <w:p>
      <w:pPr>
        <w:pStyle w:val="Heading1"/>
        <w:widowControl w:val="false"/>
        <w:numPr>
          <w:ilvl w:val="0"/>
          <w:numId w:val="3"/>
        </w:numPr>
        <w:tabs>
          <w:tab w:val="clear" w:pos="708"/>
          <w:tab w:val="left" w:pos="426" w:leader="none"/>
        </w:tabs>
        <w:spacing w:before="60" w:after="60"/>
        <w:ind w:left="426" w:hanging="426"/>
        <w:jc w:val="center"/>
        <w:rPr>
          <w:sz w:val="24"/>
          <w:szCs w:val="24"/>
        </w:rPr>
      </w:pPr>
      <w:bookmarkStart w:id="18" w:name="_Toc127778182"/>
      <w:r>
        <w:rPr>
          <w:sz w:val="24"/>
          <w:szCs w:val="24"/>
        </w:rPr>
        <w:t>Требования к продукции</w:t>
      </w:r>
      <w:bookmarkEnd w:id="18"/>
    </w:p>
    <w:p>
      <w:pPr>
        <w:pStyle w:val="Heading4"/>
        <w:numPr>
          <w:ilvl w:val="1"/>
          <w:numId w:val="3"/>
        </w:numPr>
        <w:rPr/>
      </w:pPr>
      <w:bookmarkStart w:id="19" w:name="_Toc127778183"/>
      <w:r>
        <w:rPr/>
        <w:t>Требования к объемам и срокам выполнения работ</w:t>
      </w:r>
      <w:bookmarkEnd w:id="19"/>
    </w:p>
    <w:p>
      <w:pPr>
        <w:pStyle w:val="Heading3"/>
        <w:numPr>
          <w:ilvl w:val="2"/>
          <w:numId w:val="3"/>
        </w:numPr>
        <w:rPr/>
      </w:pPr>
      <w:bookmarkStart w:id="20" w:name="_Toc127778184"/>
      <w:r>
        <w:rPr/>
        <w:t>Требования к видам и объемам работ</w:t>
      </w:r>
      <w:bookmarkEnd w:id="20"/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</w:rPr>
      </w:pPr>
      <w:bookmarkStart w:id="21" w:name="_Toc127778185"/>
      <w:bookmarkStart w:id="22" w:name="_Toc51339695"/>
      <w:r>
        <w:rPr>
          <w:sz w:val="24"/>
          <w:szCs w:val="24"/>
        </w:rPr>
        <w:t xml:space="preserve">Таблица 2. Перечень </w:t>
      </w:r>
      <w:bookmarkEnd w:id="22"/>
      <w:r>
        <w:rPr>
          <w:sz w:val="24"/>
          <w:szCs w:val="24"/>
        </w:rPr>
        <w:t>и объем выполняемых работ</w:t>
      </w:r>
      <w:bookmarkEnd w:id="21"/>
    </w:p>
    <w:tbl>
      <w:tblPr>
        <w:tblW w:w="981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49"/>
        <w:gridCol w:w="4849"/>
        <w:gridCol w:w="1987"/>
        <w:gridCol w:w="2124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1234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>
                <w:rFonts w:eastAsia="Times New Roman"/>
                <w:i/>
                <w:i/>
              </w:rPr>
            </w:pPr>
            <w:r>
              <w:rPr>
                <w:rFonts w:eastAsia="Times New Roman"/>
                <w:i/>
              </w:rPr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ОКПД 43.39.19.190 Выполнение работ по ремонту помещений Исполнительного аппарата, расположенных по адресу: г. Хабаровск, ул. Фрунзе, 49 и Шеронова, 65. 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ведомостями объемов работ (Приложение №2.1-2.4 к настоящим Техническим требованиям). 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ind w:firstLine="142"/>
        <w:rPr>
          <w:bCs/>
          <w:i/>
          <w:i/>
          <w:sz w:val="24"/>
          <w:szCs w:val="24"/>
          <w:shd w:fill="FFFF99" w:val="clear"/>
        </w:rPr>
      </w:pPr>
      <w:r>
        <w:rPr>
          <w:bCs/>
          <w:i/>
          <w:sz w:val="24"/>
          <w:szCs w:val="24"/>
          <w:shd w:fill="FFFF99" w:val="clear"/>
        </w:rPr>
      </w:r>
    </w:p>
    <w:p>
      <w:pPr>
        <w:pStyle w:val="Heading3"/>
        <w:numPr>
          <w:ilvl w:val="2"/>
          <w:numId w:val="3"/>
        </w:numPr>
        <w:rPr/>
      </w:pPr>
      <w:bookmarkStart w:id="23" w:name="_Toc127778186"/>
      <w:bookmarkStart w:id="24" w:name="_Toc51339696"/>
      <w:r>
        <w:rPr/>
        <w:t xml:space="preserve">Требования </w:t>
      </w:r>
      <w:bookmarkEnd w:id="24"/>
      <w:r>
        <w:rPr/>
        <w:t>к срокам выполнения работ</w:t>
      </w:r>
      <w:bookmarkEnd w:id="23"/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</w:rPr>
      </w:pPr>
      <w:bookmarkStart w:id="25" w:name="_Toc127778187"/>
      <w:bookmarkStart w:id="26" w:name="_Toc50125127"/>
      <w:bookmarkStart w:id="27" w:name="_Toc51339697"/>
      <w:r>
        <w:rPr>
          <w:sz w:val="24"/>
          <w:szCs w:val="24"/>
        </w:rPr>
        <w:t xml:space="preserve">Таблица 3. </w:t>
      </w:r>
      <w:bookmarkStart w:id="28" w:name="_Hlk50465284"/>
      <w:r>
        <w:rPr>
          <w:sz w:val="24"/>
          <w:szCs w:val="24"/>
        </w:rPr>
        <w:t xml:space="preserve">Требования по срокам </w:t>
      </w:r>
      <w:bookmarkEnd w:id="26"/>
      <w:bookmarkEnd w:id="27"/>
      <w:bookmarkEnd w:id="28"/>
      <w:r>
        <w:rPr>
          <w:sz w:val="24"/>
          <w:szCs w:val="24"/>
        </w:rPr>
        <w:t>выполнения работ</w:t>
      </w:r>
      <w:bookmarkEnd w:id="25"/>
    </w:p>
    <w:tbl>
      <w:tblPr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29"/>
        <w:gridCol w:w="2551"/>
        <w:gridCol w:w="2978"/>
        <w:gridCol w:w="3117"/>
      </w:tblGrid>
      <w:tr>
        <w:trPr/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*</w:t>
            </w:r>
          </w:p>
        </w:tc>
      </w:tr>
      <w:tr>
        <w:trPr/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1457" w:hRule="atLeast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ОКПД 43.39.19.190 Выполнение работ по ремонту помещений  Исполнительного аппарата, расположенных по адресу: г. Хабаровск, ул. Фрунзе, 49 и Шеронова, 65.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Cs/>
                <w:sz w:val="24"/>
                <w:szCs w:val="24"/>
              </w:rPr>
              <w:t>с даты, следующей за датой заключения договора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в течение 60 календарных дней </w:t>
            </w:r>
            <w:r>
              <w:rPr>
                <w:sz w:val="24"/>
                <w:szCs w:val="24"/>
              </w:rPr>
              <w:t>с даты заключения договора</w:t>
            </w:r>
          </w:p>
        </w:tc>
      </w:tr>
    </w:tbl>
    <w:p>
      <w:pPr>
        <w:pStyle w:val="Normal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737" w:footer="0" w:bottom="992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29" w:name="_Toc127778188"/>
      <w:r>
        <w:rPr/>
        <w:t>Требования к качеству работ</w:t>
      </w:r>
      <w:bookmarkEnd w:id="29"/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</w:rPr>
      </w:pPr>
      <w:bookmarkStart w:id="30" w:name="_Toc127778189"/>
      <w:bookmarkStart w:id="31" w:name="_Toc51339698"/>
      <w:r>
        <w:rPr>
          <w:sz w:val="24"/>
          <w:szCs w:val="24"/>
        </w:rPr>
        <w:t xml:space="preserve">Таблица 4. Требования к </w:t>
      </w:r>
      <w:bookmarkEnd w:id="31"/>
      <w:r>
        <w:rPr>
          <w:sz w:val="24"/>
          <w:szCs w:val="24"/>
        </w:rPr>
        <w:t>качеству работ</w:t>
      </w:r>
      <w:bookmarkEnd w:id="30"/>
    </w:p>
    <w:p>
      <w:pPr>
        <w:pStyle w:val="Normal"/>
        <w:jc w:val="left"/>
        <w:rPr>
          <w:rFonts w:ascii="Times New Roman" w:hAnsi="Times New Roman" w:eastAsia="Times New Roman" w:cs="Times New Roman"/>
          <w:color w:val="000000"/>
          <w14:ligatures w14:val="none"/>
        </w:rPr>
      </w:pPr>
      <w:r>
        <w:rPr>
          <w:rFonts w:eastAsia="Times New Roman" w:cs="Times New Roman"/>
          <w:b/>
          <w:color w:val="000000"/>
          <w:sz w:val="24"/>
        </w:rPr>
        <w:t>Наименование работ/этапа работ: ОКПД 43.39.19.190 Выполнение работ по ремонту помещений Исполнительного аппарата, расположенных по адресу: г. Хабаровск, ул. Фрунзе, 49 и Шеронова, 65</w:t>
      </w:r>
    </w:p>
    <w:tbl>
      <w:tblPr>
        <w:tblStyle w:val="1053"/>
        <w:tblW w:w="1502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21"/>
        <w:gridCol w:w="5"/>
        <w:gridCol w:w="2546"/>
        <w:gridCol w:w="7374"/>
        <w:gridCol w:w="2093"/>
        <w:gridCol w:w="1985"/>
      </w:tblGrid>
      <w:tr>
        <w:trPr/>
        <w:tc>
          <w:tcPr>
            <w:tcW w:w="102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2551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737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Требование заказчика</w:t>
            </w:r>
          </w:p>
        </w:tc>
        <w:tc>
          <w:tcPr>
            <w:tcW w:w="407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102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551" w:type="dxa"/>
            <w:gridSpan w:val="2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737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0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198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>
          <w:trHeight w:val="320" w:hRule="atLeast"/>
        </w:trPr>
        <w:tc>
          <w:tcPr>
            <w:tcW w:w="1021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2551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7374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209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1021" w:type="dxa"/>
            <w:tcBorders/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60" w:after="60"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9925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 xml:space="preserve">Требования к выполнению работ </w:t>
            </w:r>
          </w:p>
        </w:tc>
        <w:tc>
          <w:tcPr>
            <w:tcW w:w="209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21" w:type="dxa"/>
            <w:tcBorders/>
          </w:tcPr>
          <w:p>
            <w:pPr>
              <w:pStyle w:val="Normal"/>
              <w:widowControl w:val="false"/>
              <w:numPr>
                <w:ilvl w:val="1"/>
                <w:numId w:val="9"/>
              </w:numPr>
              <w:spacing w:before="60" w:after="60"/>
              <w:ind w:left="-117" w:firstLine="142"/>
              <w:contextualSpacing/>
              <w:jc w:val="left"/>
              <w:rPr>
                <w:rFonts w:eastAsia="Calibri"/>
                <w:b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/>
                <w:iCs/>
                <w:sz w:val="22"/>
                <w:szCs w:val="22"/>
              </w:rPr>
            </w:r>
          </w:p>
        </w:tc>
        <w:tc>
          <w:tcPr>
            <w:tcW w:w="9925" w:type="dxa"/>
            <w:gridSpan w:val="3"/>
            <w:tcBorders/>
          </w:tcPr>
          <w:p>
            <w:pPr>
              <w:pStyle w:val="Normal"/>
              <w:widowControl w:val="false"/>
              <w:spacing w:before="60" w:after="6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2093" w:type="dxa"/>
            <w:tcBorders/>
          </w:tcPr>
          <w:p>
            <w:pPr>
              <w:pStyle w:val="Normal"/>
              <w:widowControl w:val="false"/>
              <w:spacing w:before="60" w:after="0"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60" w:after="0"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21" w:type="dxa"/>
            <w:tcBorders/>
          </w:tcPr>
          <w:p>
            <w:pPr>
              <w:pStyle w:val="Normal"/>
              <w:widowControl w:val="false"/>
              <w:numPr>
                <w:ilvl w:val="2"/>
                <w:numId w:val="9"/>
              </w:numPr>
              <w:spacing w:before="60" w:after="60"/>
              <w:ind w:left="1224" w:hanging="1199"/>
              <w:contextualSpacing/>
              <w:jc w:val="left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tcW w:w="2551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lang w:val="ru-RU" w:eastAsia="ru-RU" w:bidi="ar-SA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7374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82" w:leader="none"/>
                <w:tab w:val="left" w:pos="413" w:leader="none"/>
              </w:tabs>
              <w:spacing w:before="0" w:after="0"/>
              <w:ind w:firstLine="206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Normal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425" w:leader="none"/>
              </w:tabs>
              <w:spacing w:before="0" w:after="0"/>
              <w:ind w:left="0" w:firstLine="142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lang w:val="ru-RU" w:eastAsia="ru-RU" w:bidi="ar-SA"/>
              </w:rPr>
              <w:t>Правила организации технического обслуживания и ремонта объектов электроэнергетики (приказ МинЭнерго России от 25.10.2017 №1013);</w:t>
            </w:r>
          </w:p>
          <w:p>
            <w:pPr>
              <w:pStyle w:val="Normal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425" w:leader="none"/>
              </w:tabs>
              <w:spacing w:before="0" w:after="0"/>
              <w:ind w:left="0" w:firstLine="142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lang w:val="ru-RU" w:eastAsia="ru-RU" w:bidi="ar-SA"/>
              </w:rPr>
              <w:t>Методические указания по организации технического обслуживания и ремонта основного и вспомогательного оборудования, зданий и сооружений тепловых электростанций (приказ АО «ДГК» от 28.10.2024 №762);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182" w:leader="none"/>
                <w:tab w:val="left" w:pos="413" w:leader="none"/>
              </w:tabs>
              <w:spacing w:before="0" w:after="0"/>
              <w:ind w:left="0" w:firstLine="142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lang w:val="ru-RU" w:eastAsia="ru-RU" w:bidi="ar-SA"/>
              </w:rPr>
              <w:t>СНиП 12-01-2004 (СП 48.13330.2019) «Свод правил. Организация строительства»;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182" w:leader="none"/>
                <w:tab w:val="left" w:pos="413" w:leader="none"/>
              </w:tabs>
              <w:spacing w:before="0" w:after="0"/>
              <w:ind w:left="0" w:firstLine="142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lang w:val="ru-RU" w:eastAsia="ru-RU" w:bidi="ar-SA"/>
              </w:rPr>
              <w:t>СТО 17330282.27.100.006-2008 Ремонт и техобслуживание оборудования, зданий и сооружений электрических станций и сетей. Условия выполнения работ подрядными организациями. Нормы и требования;</w:t>
            </w:r>
          </w:p>
          <w:p>
            <w:pPr>
              <w:pStyle w:val="Normal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425" w:leader="none"/>
              </w:tabs>
              <w:spacing w:before="0" w:after="0"/>
              <w:ind w:left="0" w:firstLine="142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lang w:val="ru-RU" w:eastAsia="ru-RU" w:bidi="ar-SA"/>
              </w:rPr>
              <w:t>СТО РусГидро 02.01.62-2021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требования» (приказ АО «ДГК» от 18.01.2022 №19);</w:t>
            </w:r>
          </w:p>
          <w:p>
            <w:pPr>
              <w:pStyle w:val="Normal"/>
              <w:widowControl w:val="false"/>
              <w:numPr>
                <w:ilvl w:val="0"/>
                <w:numId w:val="22"/>
              </w:numPr>
              <w:tabs>
                <w:tab w:val="clear" w:pos="708"/>
                <w:tab w:val="left" w:pos="182" w:leader="none"/>
                <w:tab w:val="left" w:pos="413" w:leader="none"/>
              </w:tabs>
              <w:spacing w:before="0" w:after="0"/>
              <w:ind w:left="0" w:firstLine="142"/>
              <w:contextualSpacing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lang w:val="ru-RU" w:eastAsia="ru-RU" w:bidi="ar-SA"/>
              </w:rPr>
              <w:t>РД 153-34.0-21.601-98 «Типовая инструкция по эксплуатации производственных зданий и сооружений энергопредприятия. Часть 2, раздел 2. Технология ремонтов зданий и сооружений»;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182" w:leader="none"/>
                <w:tab w:val="left" w:pos="413" w:leader="none"/>
              </w:tabs>
              <w:spacing w:before="0" w:after="0"/>
              <w:ind w:left="0" w:firstLine="142"/>
              <w:contextualSpacing/>
              <w:jc w:val="both"/>
              <w:rPr>
                <w:bCs/>
                <w:i/>
                <w:i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lang w:val="ru-RU" w:eastAsia="ru-RU" w:bidi="ar-SA"/>
              </w:rPr>
              <w:t>СП 71.13330.2017 Изоляционные и отделочные покрытия Актуализированная редакция СНиП 3.04.01-87;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182" w:leader="none"/>
                <w:tab w:val="left" w:pos="413" w:leader="none"/>
              </w:tabs>
              <w:spacing w:before="0" w:after="0"/>
              <w:ind w:left="0" w:firstLine="142"/>
              <w:contextualSpacing/>
              <w:jc w:val="both"/>
              <w:rPr>
                <w:rFonts w:eastAsia="Calibri"/>
                <w:bCs/>
                <w:i/>
                <w:i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СП 72.13330.2016. Свод правил. Защита строительных конструкций и сооружений от коррозии. СНиП 3.04.03-85" (ред. от 28.01.2019)</w:t>
            </w: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lang w:val="ru-RU" w:eastAsia="ru-RU" w:bidi="ar-SA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182" w:leader="none"/>
                <w:tab w:val="left" w:pos="413" w:leader="none"/>
              </w:tabs>
              <w:spacing w:before="0" w:after="0"/>
              <w:ind w:left="0" w:firstLine="142"/>
              <w:jc w:val="left"/>
              <w:rPr>
                <w:rFonts w:eastAsia="Calibri"/>
                <w:i/>
                <w:i/>
                <w:iCs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СП 68.13330.2017 «Приемка в эксплуатацию законченных строительством объектов» ред. от 10.12.2019;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182" w:leader="none"/>
                <w:tab w:val="left" w:pos="413" w:leader="none"/>
              </w:tabs>
              <w:spacing w:before="0" w:after="0"/>
              <w:ind w:left="0" w:firstLine="142"/>
              <w:jc w:val="left"/>
              <w:rPr>
                <w:bCs/>
                <w:i/>
                <w:i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highlight w:val="white"/>
                <w:lang w:val="ru-RU" w:eastAsia="en-US" w:bidi="ar-SA"/>
              </w:rPr>
              <w:t xml:space="preserve">СП 76.13330.2016  </w:t>
            </w:r>
            <w:r>
              <w:rPr>
                <w:rFonts w:eastAsia="Times New Roman" w:cs="Times New Roman"/>
                <w:i/>
                <w:iCs/>
                <w:color w:val="000000" w:themeColor="text1"/>
                <w:kern w:val="0"/>
                <w:sz w:val="22"/>
                <w:szCs w:val="22"/>
                <w:highlight w:val="white"/>
                <w:lang w:val="ru-RU" w:eastAsia="ru-RU" w:bidi="ar-SA"/>
              </w:rPr>
              <w:t>"Электротехнические устройства" Актуализированная редакция СНиП 3.05.06-85 (утв. приказом Министерства строительства и жилищно-коммунального хозяйства РФ от 16 декабря 2016 г. N 955/пр);</w:t>
            </w:r>
            <w:r>
              <w:rPr>
                <w:rFonts w:eastAsia="Times New Roman" w:cs="Times New Roman"/>
                <w:bCs/>
                <w:i/>
                <w:iCs/>
                <w:color w:val="000000" w:themeColor="text1"/>
                <w:kern w:val="0"/>
                <w:sz w:val="22"/>
                <w:szCs w:val="22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eastAsia="Calibri"/>
                <w:bCs/>
                <w:color w:val="000000" w:themeColor="text1"/>
                <w:kern w:val="0"/>
                <w:sz w:val="22"/>
                <w:szCs w:val="22"/>
                <w:highlight w:val="white"/>
                <w:lang w:val="ru-RU" w:eastAsia="en-US" w:bidi="ar-SA"/>
              </w:rPr>
              <w:t xml:space="preserve"> </w:t>
            </w:r>
          </w:p>
          <w:p>
            <w:pPr>
              <w:pStyle w:val="Normal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182" w:leader="none"/>
                <w:tab w:val="left" w:pos="413" w:leader="none"/>
              </w:tabs>
              <w:spacing w:before="0" w:after="0"/>
              <w:ind w:left="0" w:firstLine="142"/>
              <w:jc w:val="left"/>
              <w:rPr>
                <w:bCs/>
                <w:i/>
                <w:i/>
                <w:iCs/>
                <w:sz w:val="22"/>
                <w:szCs w:val="22"/>
                <w:highlight w:val="white"/>
              </w:rPr>
            </w:pPr>
            <w:r>
              <w:rPr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ВСН 214-82 Сборник инструкций по защите от коррозий;</w:t>
            </w:r>
          </w:p>
          <w:p>
            <w:pPr>
              <w:pStyle w:val="Normal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425" w:leader="none"/>
              </w:tabs>
              <w:spacing w:before="0" w:after="0"/>
              <w:ind w:left="0" w:firstLine="142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lang w:val="ru-RU" w:eastAsia="ru-RU" w:bidi="ar-SA"/>
              </w:rPr>
              <w:t>Положение «Об организации контроля и приемке выполненных работ на ремонтируемых объектах, объектах модернизации, реконструкции и технического перевооружения. Определение эффективности воздействия на оборудование АО «ДГК»» №21-003-2019 (приказ АО «ДГК» от 29.11.2019 №555)</w:t>
            </w: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lang w:val="ru-RU" w:eastAsia="ru-RU" w:bidi="ar-SA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17"/>
              </w:numPr>
              <w:tabs>
                <w:tab w:val="clear" w:pos="708"/>
                <w:tab w:val="left" w:pos="182" w:leader="none"/>
                <w:tab w:val="left" w:pos="413" w:leader="none"/>
              </w:tabs>
              <w:spacing w:before="0" w:after="0"/>
              <w:ind w:left="0" w:firstLine="142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lang w:val="ru-RU" w:eastAsia="ru-RU" w:bidi="ar-SA"/>
              </w:rPr>
              <w:t>Технические условия, технологические карты и проекты производства работ</w:t>
            </w: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6" w:leader="none"/>
              </w:tabs>
              <w:spacing w:before="0"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</w:p>
        </w:tc>
        <w:tc>
          <w:tcPr>
            <w:tcW w:w="2093" w:type="dxa"/>
            <w:vMerge w:val="restart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i/>
                <w:kern w:val="0"/>
                <w:sz w:val="22"/>
                <w:szCs w:val="22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60" w:after="0"/>
              <w:jc w:val="center"/>
              <w:rPr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08" w:hRule="atLeast"/>
        </w:trPr>
        <w:tc>
          <w:tcPr>
            <w:tcW w:w="1021" w:type="dxa"/>
            <w:tcBorders/>
          </w:tcPr>
          <w:p>
            <w:pPr>
              <w:pStyle w:val="Normal"/>
              <w:widowControl w:val="false"/>
              <w:spacing w:before="60" w:after="60"/>
              <w:contextualSpacing/>
              <w:jc w:val="left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/>
                <w:i/>
                <w:iCs/>
                <w:kern w:val="0"/>
                <w:sz w:val="22"/>
                <w:szCs w:val="22"/>
                <w:lang w:val="ru-RU" w:eastAsia="ru-RU" w:bidi="ar-SA"/>
              </w:rPr>
              <w:t>1.2</w:t>
            </w: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9925" w:type="dxa"/>
            <w:gridSpan w:val="3"/>
            <w:tcBorders/>
          </w:tcPr>
          <w:p>
            <w:pPr>
              <w:pStyle w:val="Normal"/>
              <w:widowControl w:val="false"/>
              <w:spacing w:before="60" w:after="0"/>
              <w:jc w:val="left"/>
              <w:rPr>
                <w:bCs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21" w:type="dxa"/>
            <w:tcBorders/>
          </w:tcPr>
          <w:p>
            <w:pPr>
              <w:pStyle w:val="Normal"/>
              <w:widowControl w:val="false"/>
              <w:spacing w:before="60" w:after="60"/>
              <w:contextualSpacing/>
              <w:jc w:val="left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 xml:space="preserve">          </w:t>
            </w: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1.2.1.</w:t>
            </w:r>
          </w:p>
        </w:tc>
        <w:tc>
          <w:tcPr>
            <w:tcW w:w="2551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sz w:val="22"/>
                <w:szCs w:val="22"/>
              </w:rPr>
            </w:pPr>
            <w:r>
              <w:rPr>
                <w:i/>
                <w:kern w:val="0"/>
                <w:sz w:val="22"/>
                <w:szCs w:val="22"/>
                <w:lang w:val="ru-RU" w:eastAsia="ru-RU" w:bidi="ar-SA"/>
              </w:rPr>
              <w:t>Требования к организации процесса выполнения работ:</w:t>
            </w:r>
          </w:p>
        </w:tc>
        <w:tc>
          <w:tcPr>
            <w:tcW w:w="737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2"/>
                <w:szCs w:val="22"/>
              </w:rPr>
            </w:pPr>
            <w:r>
              <w:rPr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Комплекс организационно–технических мероприятий, выполняемый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 и отремонтированных помещений, оптимальное расходование материально-технических и трудовые ресурсов. Подрядчик разрабатывает план подготовки к ремонту в соответствии с планами производственных объектов, принятым к исполнению объемом работ и согласованным участием в материально–техническом обеспечении ремонтных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2"/>
                <w:szCs w:val="22"/>
              </w:rPr>
            </w:pPr>
            <w:r>
              <w:rPr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Изменения объемов работ, предусмотренных ведомостью планируемых работ, оформляются в соответствии с требованиями Правил ТОиР (ведомостью дополнительных работ по ремонту и протоколом исключения работ из ведомости планируемых работ по ремонту), согласовываются с Подрядчиком и утверждаются техническим руководителем структурного подразделения, ответственного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непосредственную эксплуатацию производственного объекта, определяется условиями договора.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2"/>
                <w:szCs w:val="22"/>
              </w:rPr>
            </w:pPr>
            <w:r>
              <w:rPr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До начала ремонта Подрядчик: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8"/>
                <w:tab w:val="left" w:pos="283" w:leader="none"/>
              </w:tabs>
              <w:spacing w:before="60" w:after="0"/>
              <w:ind w:left="0" w:hanging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проводит проверку выполнения подготовительных работ в соответствии с планом подготовки к ремонту.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8"/>
                <w:tab w:val="left" w:pos="283" w:leader="none"/>
              </w:tabs>
              <w:spacing w:before="60" w:after="0"/>
              <w:ind w:left="0" w:hanging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определяет состав бригад (участков) по численности, квалификации и профессиям в соответствии с графиком ремонта. При этом должна быть обеспечена полная занятость рабочих в течение установленных графиком сроков производства работ; 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8"/>
                <w:tab w:val="left" w:pos="283" w:leader="none"/>
              </w:tabs>
              <w:spacing w:before="60" w:after="0"/>
              <w:ind w:left="0" w:hanging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назначает руководителей работ по ремонту отдельных видов работ в соответствии с номенклатурой и объемом работ, принятым по договору;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8"/>
                <w:tab w:val="left" w:pos="283" w:leader="none"/>
              </w:tabs>
              <w:spacing w:before="60" w:after="0"/>
              <w:ind w:left="0" w:hanging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назначает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обеспечение; 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8"/>
                <w:tab w:val="left" w:pos="283" w:leader="none"/>
              </w:tabs>
              <w:spacing w:before="60" w:after="0"/>
              <w:ind w:left="0" w:hanging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проверяет удостоверения стропальщиков, крановщиков и лиц других специальностей на право выполнения работ при ремонте;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8"/>
                <w:tab w:val="left" w:pos="283" w:leader="none"/>
              </w:tabs>
              <w:spacing w:before="60" w:after="0"/>
              <w:ind w:left="0" w:hanging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проверяет выполнение требований допуска ремонтного и командированного персонала, предусмотренного п. 1.2.2 </w:t>
            </w: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lang w:val="ru-RU" w:eastAsia="ru-RU" w:bidi="ar-SA"/>
              </w:rPr>
              <w:t>ТТ.</w:t>
            </w:r>
          </w:p>
          <w:p>
            <w:pPr>
              <w:pStyle w:val="Normal"/>
              <w:widowControl w:val="false"/>
              <w:spacing w:before="0" w:after="60"/>
              <w:ind w:firstLine="456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Руководители работ подрядных организаций, участвующие в производстве Работ совместно с представителями Заказчика, осуществляют входной контроль качества применяемых материалов,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rFonts w:eastAsia="Calibri"/>
                <w:bCs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i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  <w:tr>
        <w:trPr>
          <w:trHeight w:val="387" w:hRule="atLeast"/>
        </w:trPr>
        <w:tc>
          <w:tcPr>
            <w:tcW w:w="1021" w:type="dxa"/>
            <w:tcBorders/>
          </w:tcPr>
          <w:p>
            <w:pPr>
              <w:pStyle w:val="Normal"/>
              <w:widowControl w:val="false"/>
              <w:spacing w:before="60" w:after="60"/>
              <w:contextualSpacing/>
              <w:jc w:val="both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1.2.2.</w:t>
            </w:r>
          </w:p>
        </w:tc>
        <w:tc>
          <w:tcPr>
            <w:tcW w:w="2551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Организационно-технические мероприятия по допуску персонала подрядчика</w:t>
            </w:r>
          </w:p>
        </w:tc>
        <w:tc>
          <w:tcPr>
            <w:tcW w:w="7374" w:type="dxa"/>
            <w:tcBorders/>
          </w:tcPr>
          <w:p>
            <w:pPr>
              <w:pStyle w:val="Normal"/>
              <w:widowControl w:val="false"/>
              <w:spacing w:before="0" w:after="0"/>
              <w:ind w:firstLine="456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Допуск персонала подрядчика для выполнения работ должен осуществляться в соответствии с:</w:t>
            </w:r>
          </w:p>
          <w:p>
            <w:pPr>
              <w:pStyle w:val="Normal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406" w:leader="none"/>
                <w:tab w:val="left" w:pos="709" w:leader="none"/>
              </w:tabs>
              <w:spacing w:before="0" w:after="0"/>
              <w:ind w:left="0" w:firstLine="36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Положением о допуске персонала подрядных организаций к выполнению работ на объектах АО «ДГК» №22.1-504-2026 (утверждено приказом АО «ДГК» № П-ДГК/649 от 22.07.2026) (Приложение №4 к ТТ).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jc w:val="both"/>
              <w:rPr>
                <w:rFonts w:eastAsia="Calibri"/>
                <w:bCs/>
                <w:i/>
                <w:i/>
                <w:sz w:val="22"/>
                <w:szCs w:val="22"/>
                <w:highlight w:val="none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jc w:val="both"/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60" w:after="0"/>
              <w:jc w:val="center"/>
              <w:rPr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</w:tr>
      <w:tr>
        <w:trPr/>
        <w:tc>
          <w:tcPr>
            <w:tcW w:w="1021" w:type="dxa"/>
            <w:tcBorders/>
          </w:tcPr>
          <w:p>
            <w:pPr>
              <w:pStyle w:val="Normal"/>
              <w:widowControl w:val="false"/>
              <w:spacing w:before="60" w:after="60"/>
              <w:contextualSpacing/>
              <w:jc w:val="left"/>
              <w:rPr>
                <w:rFonts w:eastAsia="Calibri"/>
                <w:b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/>
                <w:i/>
                <w:iCs/>
                <w:kern w:val="0"/>
                <w:sz w:val="22"/>
                <w:szCs w:val="22"/>
                <w:lang w:val="ru-RU" w:eastAsia="ru-RU" w:bidi="ar-SA"/>
              </w:rPr>
              <w:t>1.3.</w:t>
            </w:r>
          </w:p>
        </w:tc>
        <w:tc>
          <w:tcPr>
            <w:tcW w:w="9925" w:type="dxa"/>
            <w:gridSpan w:val="3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Требования к используемым материалам, контролю качества работ и материалов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1028" w:hRule="atLeast"/>
        </w:trPr>
        <w:tc>
          <w:tcPr>
            <w:tcW w:w="1021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left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1.3.1.</w:t>
            </w:r>
          </w:p>
        </w:tc>
        <w:tc>
          <w:tcPr>
            <w:tcW w:w="2551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Cs/>
                <w:sz w:val="22"/>
                <w:szCs w:val="22"/>
              </w:rPr>
            </w:pPr>
            <w:r>
              <w:rPr>
                <w:i/>
                <w:kern w:val="0"/>
                <w:sz w:val="22"/>
                <w:szCs w:val="22"/>
                <w:lang w:val="ru-RU" w:eastAsia="ru-RU" w:bidi="ar-SA"/>
              </w:rPr>
              <w:t>Требования к используемым материально – техническим ресурсам</w:t>
            </w:r>
          </w:p>
        </w:tc>
        <w:tc>
          <w:tcPr>
            <w:tcW w:w="7374" w:type="dxa"/>
            <w:tcBorders/>
          </w:tcPr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bCs/>
                <w:i/>
                <w:i/>
                <w:sz w:val="22"/>
                <w:szCs w:val="22"/>
              </w:rPr>
            </w:pPr>
            <w:r>
              <w:rPr>
                <w:i/>
                <w:kern w:val="0"/>
                <w:sz w:val="22"/>
                <w:szCs w:val="22"/>
                <w:lang w:val="ru-RU" w:eastAsia="ru-RU" w:bidi="ar-SA"/>
              </w:rPr>
              <w:t xml:space="preserve">Материалы, необходимые для выполнения работ приобретаются Подрядчиком самостоятельно. </w:t>
            </w:r>
          </w:p>
          <w:p>
            <w:pPr>
              <w:pStyle w:val="Normal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406" w:leader="none"/>
              </w:tabs>
              <w:spacing w:before="0" w:after="0"/>
              <w:ind w:left="35" w:hanging="360"/>
              <w:contextualSpacing/>
              <w:jc w:val="both"/>
              <w:rPr>
                <w:rFonts w:eastAsia="Calibri"/>
                <w:bCs/>
                <w:i/>
                <w:i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Материалы, приобретаемые Подрядчиком должны быть новыми и ранее не использованными, без повреждений. Подрядчиком в работе могут быть применены эквивалентные материалы*, предварительно согласованные с Заказчиком.</w:t>
            </w:r>
          </w:p>
          <w:p>
            <w:pPr>
              <w:pStyle w:val="Normal"/>
              <w:widowControl w:val="false"/>
              <w:numPr>
                <w:ilvl w:val="0"/>
                <w:numId w:val="27"/>
              </w:numPr>
              <w:tabs>
                <w:tab w:val="clear" w:pos="708"/>
                <w:tab w:val="left" w:pos="406" w:leader="none"/>
              </w:tabs>
              <w:spacing w:before="0" w:after="0"/>
              <w:ind w:left="35" w:hanging="36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В случае, если на этапе исполнения договора Подрядчиком, вместо материалов конкретных торговых знаков, марок и/или наименований, указанных в технической и сметной документации, будет применяться эквивалентная продукция, Подрядчик принимает на себя все затраты по внесению соответствующих изменений в техническую и сметную документацию, а также согласованию ее с Заказчиком без увеличения общей стоимости по Договору.</w:t>
            </w:r>
          </w:p>
          <w:p>
            <w:pPr>
              <w:pStyle w:val="Normal"/>
              <w:widowControl w:val="false"/>
              <w:numPr>
                <w:ilvl w:val="0"/>
                <w:numId w:val="27"/>
              </w:numPr>
              <w:tabs>
                <w:tab w:val="clear" w:pos="708"/>
                <w:tab w:val="left" w:pos="406" w:leader="none"/>
              </w:tabs>
              <w:spacing w:before="0" w:after="60"/>
              <w:ind w:left="35" w:hanging="360"/>
              <w:contextualSpacing/>
              <w:jc w:val="both"/>
              <w:rPr>
                <w:rFonts w:eastAsia="Calibri"/>
                <w:bCs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* Эквивалентная продукция - это продукция, которая по техническим и функциональным характеристикам не уступает характеристикам, указанных в перечне материалов Подрядчика и технической документации.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  <w:tr>
        <w:trPr>
          <w:trHeight w:val="1582" w:hRule="atLeast"/>
        </w:trPr>
        <w:tc>
          <w:tcPr>
            <w:tcW w:w="1021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left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1.3.2.</w:t>
            </w:r>
          </w:p>
        </w:tc>
        <w:tc>
          <w:tcPr>
            <w:tcW w:w="2551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Cs/>
                <w:sz w:val="22"/>
                <w:szCs w:val="22"/>
              </w:rPr>
            </w:pPr>
            <w:r>
              <w:rPr>
                <w:i/>
                <w:kern w:val="0"/>
                <w:sz w:val="22"/>
                <w:szCs w:val="22"/>
                <w:lang w:val="ru-RU" w:eastAsia="ru-RU" w:bidi="ar-SA"/>
              </w:rPr>
              <w:t>Контроль качества используемых запасных частей и материалов</w:t>
            </w:r>
          </w:p>
        </w:tc>
        <w:tc>
          <w:tcPr>
            <w:tcW w:w="7374" w:type="dxa"/>
            <w:tcBorders/>
          </w:tcPr>
          <w:p>
            <w:pPr>
              <w:pStyle w:val="Normal"/>
              <w:widowControl w:val="false"/>
              <w:spacing w:before="0" w:after="60"/>
              <w:jc w:val="both"/>
              <w:rPr>
                <w:i/>
                <w:i/>
                <w:sz w:val="22"/>
                <w:szCs w:val="22"/>
                <w:highlight w:val="white"/>
              </w:rPr>
            </w:pPr>
            <w:r>
              <w:rPr>
                <w:i/>
                <w:kern w:val="0"/>
                <w:sz w:val="22"/>
                <w:szCs w:val="22"/>
                <w:lang w:val="ru-RU" w:eastAsia="ru-RU" w:bidi="ar-SA"/>
              </w:rPr>
              <w:t xml:space="preserve">Руководители работ подрядных организаций, совместно с представителями Заказчика, осуществляют входной контроль качества применяемых материалов. </w:t>
            </w:r>
          </w:p>
          <w:p>
            <w:pPr>
              <w:pStyle w:val="Normal"/>
              <w:widowControl w:val="false"/>
              <w:spacing w:before="0" w:after="60"/>
              <w:jc w:val="both"/>
              <w:rPr>
                <w:bCs/>
                <w:i/>
                <w:i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Материалы Подрядчика должны иметь сертификаты, паспорта и другие документы, подтверждающие их качество. </w:t>
            </w:r>
          </w:p>
          <w:p>
            <w:pPr>
              <w:pStyle w:val="Normal"/>
              <w:widowControl w:val="false"/>
              <w:spacing w:before="0" w:after="60"/>
              <w:jc w:val="both"/>
              <w:rPr>
                <w:bCs/>
                <w:i/>
                <w:i/>
                <w:sz w:val="22"/>
                <w:szCs w:val="22"/>
                <w:highlight w:val="white"/>
              </w:rPr>
            </w:pPr>
            <w:r>
              <w:rPr>
                <w:i/>
                <w:kern w:val="0"/>
                <w:sz w:val="22"/>
                <w:szCs w:val="22"/>
                <w:lang w:val="ru-RU" w:eastAsia="ru-RU" w:bidi="ar-SA"/>
              </w:rPr>
              <w:t xml:space="preserve">При осуществлении Подрядчиком входного контроля качества материально-технических ресурсов, поступивших на место производства работ, обязательно наличие и ведение журнала входного учета и контроля качества получаемых материалов. Отсутствие записи о приемке материалов и оборудовании в данном журнале дает основание Заказчику в отказе приемки выполненных работ с использованием соответствующих материалов. 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461" w:hRule="atLeast"/>
        </w:trPr>
        <w:tc>
          <w:tcPr>
            <w:tcW w:w="1021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left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1.3.3.</w:t>
            </w:r>
          </w:p>
        </w:tc>
        <w:tc>
          <w:tcPr>
            <w:tcW w:w="2551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Cs/>
                <w:sz w:val="22"/>
                <w:szCs w:val="22"/>
              </w:rPr>
            </w:pPr>
            <w:r>
              <w:rPr>
                <w:i/>
                <w:kern w:val="0"/>
                <w:sz w:val="22"/>
                <w:szCs w:val="22"/>
                <w:lang w:val="ru-RU" w:eastAsia="ru-RU" w:bidi="ar-SA"/>
              </w:rPr>
              <w:t>Контроль качества работ</w:t>
            </w:r>
          </w:p>
        </w:tc>
        <w:tc>
          <w:tcPr>
            <w:tcW w:w="7374" w:type="dxa"/>
            <w:tcBorders/>
          </w:tcPr>
          <w:p>
            <w:pPr>
              <w:pStyle w:val="Normal"/>
              <w:widowControl w:val="false"/>
              <w:spacing w:before="0" w:after="60"/>
              <w:jc w:val="both"/>
              <w:rPr>
                <w:sz w:val="22"/>
                <w:szCs w:val="22"/>
              </w:rPr>
            </w:pPr>
            <w:r>
              <w:rPr>
                <w:i/>
                <w:kern w:val="0"/>
                <w:sz w:val="22"/>
                <w:szCs w:val="22"/>
                <w:lang w:val="ru-RU" w:eastAsia="ru-RU" w:bidi="ar-SA"/>
              </w:rPr>
              <w:t xml:space="preserve">В соответствии с законом № 184-ФЗ «О техническом регулировании» Подрядчик принимает на себя добровольное обязательство о соблюдении требований правил, технических условий, ГОСТ, ПЭУ и других нормативных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 </w:t>
            </w:r>
          </w:p>
          <w:p>
            <w:pPr>
              <w:pStyle w:val="Normal"/>
              <w:widowControl w:val="false"/>
              <w:spacing w:before="0" w:after="60"/>
              <w:jc w:val="both"/>
              <w:rPr>
                <w:bCs/>
                <w:i/>
                <w:i/>
                <w:sz w:val="22"/>
                <w:szCs w:val="22"/>
              </w:rPr>
            </w:pPr>
            <w:r>
              <w:rPr>
                <w:i/>
                <w:kern w:val="0"/>
                <w:sz w:val="22"/>
                <w:szCs w:val="22"/>
                <w:lang w:val="ru-RU" w:eastAsia="ru-RU" w:bidi="ar-SA"/>
              </w:rPr>
              <w:t xml:space="preserve">Руководители работ подрядных организаций, участвующие в производстве Работ совместно с представителями Заказчика,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 </w:t>
            </w:r>
          </w:p>
          <w:p>
            <w:pPr>
              <w:pStyle w:val="Normal"/>
              <w:widowControl w:val="false"/>
              <w:spacing w:before="0" w:after="60"/>
              <w:jc w:val="both"/>
              <w:rPr>
                <w:sz w:val="22"/>
                <w:szCs w:val="22"/>
              </w:rPr>
            </w:pPr>
            <w:r>
              <w:rPr>
                <w:i/>
                <w:kern w:val="0"/>
                <w:sz w:val="22"/>
                <w:szCs w:val="22"/>
                <w:lang w:val="ru-RU" w:eastAsia="ru-RU" w:bidi="ar-SA"/>
              </w:rPr>
              <w:t>Подробно указаны в проекте договора подряда (в том числе в разделе № 2), который включен в состав Документации о закупке.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87" w:hRule="atLeast"/>
        </w:trPr>
        <w:tc>
          <w:tcPr>
            <w:tcW w:w="1021" w:type="dxa"/>
            <w:tcBorders/>
          </w:tcPr>
          <w:p>
            <w:pPr>
              <w:pStyle w:val="Normal"/>
              <w:widowControl w:val="false"/>
              <w:spacing w:before="60" w:after="60"/>
              <w:contextualSpacing/>
              <w:jc w:val="left"/>
              <w:rPr>
                <w:rFonts w:eastAsia="Calibri"/>
                <w:b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/>
                <w:i/>
                <w:iCs/>
                <w:kern w:val="0"/>
                <w:sz w:val="22"/>
                <w:szCs w:val="22"/>
                <w:lang w:val="ru-RU" w:eastAsia="ru-RU" w:bidi="ar-SA"/>
              </w:rPr>
              <w:t>1.4.</w:t>
            </w:r>
          </w:p>
        </w:tc>
        <w:tc>
          <w:tcPr>
            <w:tcW w:w="9925" w:type="dxa"/>
            <w:gridSpan w:val="3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b/>
                <w:kern w:val="0"/>
                <w:sz w:val="22"/>
                <w:szCs w:val="22"/>
                <w:highlight w:val="white"/>
                <w:lang w:val="ru-RU" w:eastAsia="ru-RU" w:bidi="ar-SA"/>
              </w:rPr>
              <w:t>Требования к персоналу подрядчика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382" w:hRule="atLeast"/>
        </w:trPr>
        <w:tc>
          <w:tcPr>
            <w:tcW w:w="1021" w:type="dxa"/>
            <w:tcBorders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lang w:val="ru-RU" w:eastAsia="ru-RU" w:bidi="ar-SA"/>
              </w:rPr>
              <w:t>1.4.1.</w:t>
            </w:r>
          </w:p>
        </w:tc>
        <w:tc>
          <w:tcPr>
            <w:tcW w:w="2551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rFonts w:eastAsia="Calibri"/>
                <w:bCs/>
                <w:sz w:val="22"/>
                <w:szCs w:val="22"/>
                <w:highlight w:val="white"/>
              </w:rPr>
            </w:pPr>
            <w:r>
              <w:rPr>
                <w:rFonts w:eastAsia="Calibri"/>
                <w:i/>
                <w:kern w:val="0"/>
                <w:sz w:val="22"/>
                <w:szCs w:val="22"/>
                <w:highlight w:val="white"/>
                <w:lang w:val="ru-RU" w:eastAsia="ru-RU" w:bidi="ar-SA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7374" w:type="dxa"/>
            <w:tcBorders/>
          </w:tcPr>
          <w:p>
            <w:pPr>
              <w:pStyle w:val="Normal"/>
              <w:widowControl w:val="false"/>
              <w:spacing w:before="0" w:after="0"/>
              <w:ind w:firstLine="352"/>
              <w:jc w:val="both"/>
              <w:rPr>
                <w:bCs/>
                <w:i/>
                <w:i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Подрядчик должен иметь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договорам, либо планируемого к привлечению, в том числе по договорам субподряда)</w:t>
            </w:r>
            <w:r>
              <w:rPr>
                <w:i/>
                <w:iCs/>
                <w:kern w:val="0"/>
                <w:sz w:val="22"/>
                <w:szCs w:val="22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ind w:firstLine="283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До начала проведения работ в рамках исполнения договора после его заключения подрядчик предоставляет: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567" w:leader="none"/>
                <w:tab w:val="left" w:pos="3685" w:leader="none"/>
              </w:tabs>
              <w:spacing w:before="0" w:after="0"/>
              <w:ind w:left="34" w:firstLine="249"/>
              <w:contextualSpacing/>
              <w:jc w:val="both"/>
              <w:rPr>
                <w:rFonts w:eastAsia="Calibri"/>
                <w:i/>
                <w:i/>
                <w:sz w:val="22"/>
                <w:szCs w:val="22"/>
                <w:highlight w:val="white"/>
              </w:rPr>
            </w:pPr>
            <w:r>
              <w:rPr>
                <w:rFonts w:eastAsia="Calibri"/>
                <w:bCs/>
                <w:i/>
                <w:iCs/>
                <w:kern w:val="0"/>
                <w:sz w:val="22"/>
                <w:szCs w:val="22"/>
                <w:lang w:val="ru-RU" w:eastAsia="ru-RU" w:bidi="ar-SA"/>
              </w:rPr>
              <w:t>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специальностей).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021" w:type="dxa"/>
            <w:tcBorders/>
          </w:tcPr>
          <w:p>
            <w:pPr>
              <w:pStyle w:val="Normal"/>
              <w:widowControl w:val="false"/>
              <w:spacing w:before="60" w:after="60"/>
              <w:contextualSpacing/>
              <w:jc w:val="left"/>
              <w:rPr>
                <w:rFonts w:eastAsia="Calibri"/>
                <w:b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b/>
                <w:i/>
                <w:iCs/>
                <w:kern w:val="0"/>
                <w:sz w:val="22"/>
                <w:szCs w:val="22"/>
                <w:lang w:val="ru-RU" w:eastAsia="ru-RU" w:bidi="ar-SA"/>
              </w:rPr>
              <w:t>1.5.</w:t>
            </w:r>
          </w:p>
        </w:tc>
        <w:tc>
          <w:tcPr>
            <w:tcW w:w="9925" w:type="dxa"/>
            <w:gridSpan w:val="3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jc w:val="both"/>
              <w:rPr>
                <w:b/>
                <w:bCs/>
                <w:sz w:val="22"/>
                <w:szCs w:val="22"/>
                <w:shd w:fill="FFFF99" w:val="clear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/>
                <w:i/>
                <w:i/>
                <w:iCs/>
                <w:sz w:val="22"/>
                <w:szCs w:val="22"/>
                <w:shd w:fill="FFFF99" w:val="clear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21" w:type="dxa"/>
            <w:tcBorders/>
          </w:tcPr>
          <w:p>
            <w:pPr>
              <w:pStyle w:val="Normal"/>
              <w:widowControl w:val="false"/>
              <w:spacing w:before="60" w:after="60"/>
              <w:contextualSpacing/>
              <w:jc w:val="left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1.5.1.</w:t>
            </w:r>
          </w:p>
        </w:tc>
        <w:tc>
          <w:tcPr>
            <w:tcW w:w="2551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left"/>
              <w:outlineLvl w:val="2"/>
              <w:rPr>
                <w:sz w:val="22"/>
                <w:szCs w:val="22"/>
                <w:highlight w:val="white"/>
              </w:rPr>
            </w:pPr>
            <w:r>
              <w:rPr>
                <w:rFonts w:eastAsia="Calibri"/>
                <w:i/>
                <w:kern w:val="0"/>
                <w:sz w:val="22"/>
                <w:szCs w:val="22"/>
                <w:highlight w:val="white"/>
                <w:lang w:val="ru-RU" w:eastAsia="ru-RU" w:bidi="ar-SA"/>
              </w:rPr>
              <w:t>Требования к безопасности выполняемых работ</w:t>
            </w:r>
          </w:p>
        </w:tc>
        <w:tc>
          <w:tcPr>
            <w:tcW w:w="737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pacing w:lineRule="auto" w:line="230" w:before="0" w:after="0"/>
              <w:ind w:firstLine="283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>
            <w:pPr>
              <w:pStyle w:val="Normal"/>
              <w:widowControl w:val="false"/>
              <w:numPr>
                <w:ilvl w:val="0"/>
                <w:numId w:val="19"/>
              </w:numPr>
              <w:tabs>
                <w:tab w:val="clear" w:pos="708"/>
                <w:tab w:val="left" w:pos="283" w:leader="none"/>
              </w:tabs>
              <w:spacing w:lineRule="auto" w:line="230" w:before="0" w:after="0"/>
              <w:ind w:left="0" w:hanging="0"/>
              <w:contextualSpacing/>
              <w:jc w:val="both"/>
              <w:rPr>
                <w:rFonts w:eastAsia="Calibri"/>
                <w:i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СНиП 12-03-2001 «Безопасность труда в строительстве» Часть 1. Общие требования. Приняты и введены в действие Постановлением Госстроя РФ от 23.07.2001 г. №80;</w:t>
            </w:r>
          </w:p>
          <w:p>
            <w:pPr>
              <w:pStyle w:val="Normal"/>
              <w:widowControl w:val="false"/>
              <w:numPr>
                <w:ilvl w:val="0"/>
                <w:numId w:val="19"/>
              </w:numPr>
              <w:tabs>
                <w:tab w:val="clear" w:pos="708"/>
                <w:tab w:val="left" w:pos="283" w:leader="none"/>
              </w:tabs>
              <w:spacing w:lineRule="auto" w:line="230" w:before="0" w:after="0"/>
              <w:ind w:left="0" w:hanging="0"/>
              <w:contextualSpacing/>
              <w:jc w:val="both"/>
              <w:rPr>
                <w:rFonts w:eastAsia="Calibri"/>
                <w:bCs/>
                <w:i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СНиП 12-04-2002 «Безопасность труда в строительстве» Часть 2. Строительное производство». Приняты и введены в действие Постановлением Госстроя РФ от 17.09.2002 г. №123</w:t>
            </w:r>
            <w:r>
              <w:rPr>
                <w:rFonts w:eastAsia="Calibri"/>
                <w:bCs/>
                <w:i/>
                <w:kern w:val="0"/>
                <w:sz w:val="22"/>
                <w:szCs w:val="22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lineRule="auto" w:line="230" w:before="0" w:after="0"/>
              <w:jc w:val="both"/>
              <w:rPr>
                <w:bCs/>
                <w:sz w:val="22"/>
                <w:szCs w:val="22"/>
                <w:highlight w:val="white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Более подробно требования указаны в проекте договора подряда (в том числе в разделе №2), который включен в состав Документации о закупке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  <w:tr>
        <w:trPr>
          <w:trHeight w:val="387" w:hRule="atLeast"/>
        </w:trPr>
        <w:tc>
          <w:tcPr>
            <w:tcW w:w="1021" w:type="dxa"/>
            <w:tcBorders/>
          </w:tcPr>
          <w:p>
            <w:pPr>
              <w:pStyle w:val="Normal"/>
              <w:widowControl w:val="false"/>
              <w:spacing w:before="60" w:after="60"/>
              <w:contextualSpacing/>
              <w:jc w:val="left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1.5.2.</w:t>
            </w:r>
          </w:p>
        </w:tc>
        <w:tc>
          <w:tcPr>
            <w:tcW w:w="2551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left"/>
              <w:outlineLvl w:val="2"/>
              <w:rPr>
                <w:rFonts w:eastAsia="Calibri"/>
                <w:bCs/>
                <w:sz w:val="22"/>
                <w:szCs w:val="22"/>
                <w:highlight w:val="white"/>
              </w:rPr>
            </w:pPr>
            <w:r>
              <w:rPr>
                <w:rFonts w:eastAsia="Calibri"/>
                <w:i/>
                <w:kern w:val="0"/>
                <w:sz w:val="22"/>
                <w:szCs w:val="22"/>
                <w:highlight w:val="white"/>
                <w:lang w:val="ru-RU" w:eastAsia="ru-RU" w:bidi="ar-SA"/>
              </w:rPr>
              <w:t>Соблюдение требований пожарной безопасности</w:t>
            </w:r>
          </w:p>
        </w:tc>
        <w:tc>
          <w:tcPr>
            <w:tcW w:w="737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pacing w:lineRule="auto" w:line="230" w:before="0" w:after="0"/>
              <w:ind w:firstLine="283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>
            <w:pPr>
              <w:pStyle w:val="Normal"/>
              <w:widowControl w:val="false"/>
              <w:numPr>
                <w:ilvl w:val="0"/>
                <w:numId w:val="20"/>
              </w:numPr>
              <w:shd w:val="clear" w:color="auto" w:fill="FFFFFF"/>
              <w:tabs>
                <w:tab w:val="clear" w:pos="708"/>
                <w:tab w:val="left" w:pos="283" w:leader="none"/>
              </w:tabs>
              <w:spacing w:lineRule="auto" w:line="230" w:before="0" w:after="0"/>
              <w:ind w:left="0" w:hanging="0"/>
              <w:contextualSpacing/>
              <w:jc w:val="both"/>
              <w:rPr>
                <w:rFonts w:eastAsia="Calibri"/>
                <w:bCs/>
                <w:i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Правила противопожарного режима в Российской Федерации, утверждены Постановлением Правительства РФ от 16.09.2020 № 1479;</w:t>
            </w:r>
          </w:p>
          <w:p>
            <w:pPr>
              <w:pStyle w:val="Normal"/>
              <w:widowControl w:val="false"/>
              <w:numPr>
                <w:ilvl w:val="0"/>
                <w:numId w:val="20"/>
              </w:numPr>
              <w:shd w:val="clear" w:color="auto" w:fill="FFFFFF"/>
              <w:tabs>
                <w:tab w:val="clear" w:pos="708"/>
                <w:tab w:val="left" w:pos="283" w:leader="none"/>
              </w:tabs>
              <w:spacing w:lineRule="auto" w:line="230" w:before="0" w:after="0"/>
              <w:ind w:left="0" w:hanging="0"/>
              <w:contextualSpacing/>
              <w:jc w:val="both"/>
              <w:rPr>
                <w:rFonts w:eastAsia="Calibri"/>
                <w:bCs/>
                <w:i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Технический регламент о требованиях пожарной безопасности. №123-ФЗ от 22.07.2008;</w:t>
            </w:r>
          </w:p>
          <w:p>
            <w:pPr>
              <w:pStyle w:val="Normal"/>
              <w:widowControl w:val="false"/>
              <w:numPr>
                <w:ilvl w:val="0"/>
                <w:numId w:val="20"/>
              </w:numPr>
              <w:tabs>
                <w:tab w:val="clear" w:pos="708"/>
                <w:tab w:val="left" w:pos="283" w:leader="none"/>
              </w:tabs>
              <w:spacing w:lineRule="auto" w:line="230" w:before="0" w:after="0"/>
              <w:ind w:left="0" w:hanging="0"/>
              <w:contextualSpacing/>
              <w:jc w:val="both"/>
              <w:rPr>
                <w:rFonts w:eastAsia="Calibri"/>
                <w:bCs/>
                <w:i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ГОСТ 12.1.004-91* Система стандартов безопасности труда. Пожарная безопасность. Общие требования.</w:t>
            </w:r>
          </w:p>
          <w:p>
            <w:pPr>
              <w:pStyle w:val="Normal"/>
              <w:widowControl w:val="false"/>
              <w:spacing w:lineRule="auto" w:line="230" w:before="0" w:after="0"/>
              <w:ind w:firstLine="283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</w:p>
          <w:p>
            <w:pPr>
              <w:pStyle w:val="Normal"/>
              <w:widowControl w:val="false"/>
              <w:spacing w:lineRule="auto" w:line="230" w:before="0" w:after="0"/>
              <w:ind w:firstLine="283"/>
              <w:contextualSpacing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</w:p>
          <w:p>
            <w:pPr>
              <w:pStyle w:val="Normal"/>
              <w:widowControl w:val="false"/>
              <w:spacing w:lineRule="auto" w:line="230" w:before="0" w:after="0"/>
              <w:ind w:firstLine="283"/>
              <w:contextualSpacing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</w:p>
          <w:p>
            <w:pPr>
              <w:pStyle w:val="Normal"/>
              <w:widowControl w:val="false"/>
              <w:spacing w:lineRule="auto" w:line="230" w:before="0" w:after="0"/>
              <w:ind w:firstLine="283"/>
              <w:contextualSpacing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Ремонтная площадка должна быть оснащена средствами пожаротушения.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6" w:leader="none"/>
              </w:tabs>
              <w:spacing w:lineRule="auto" w:line="230" w:before="0" w:after="0"/>
              <w:ind w:firstLine="283"/>
              <w:contextualSpacing/>
              <w:jc w:val="both"/>
              <w:rPr>
                <w:rFonts w:eastAsia="Calibri"/>
                <w:bCs/>
                <w:sz w:val="22"/>
                <w:szCs w:val="22"/>
                <w:highlight w:val="white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 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87" w:hRule="atLeast"/>
        </w:trPr>
        <w:tc>
          <w:tcPr>
            <w:tcW w:w="1021" w:type="dxa"/>
            <w:tcBorders/>
          </w:tcPr>
          <w:p>
            <w:pPr>
              <w:pStyle w:val="Normal"/>
              <w:widowControl w:val="false"/>
              <w:spacing w:before="60" w:after="60"/>
              <w:contextualSpacing/>
              <w:jc w:val="left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1.5.3.</w:t>
            </w:r>
          </w:p>
        </w:tc>
        <w:tc>
          <w:tcPr>
            <w:tcW w:w="2551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left"/>
              <w:outlineLvl w:val="2"/>
              <w:rPr>
                <w:rFonts w:eastAsia="Calibri"/>
                <w:bCs/>
                <w:sz w:val="22"/>
                <w:szCs w:val="22"/>
                <w:highlight w:val="white"/>
              </w:rPr>
            </w:pPr>
            <w:r>
              <w:rPr>
                <w:rFonts w:eastAsia="Calibri"/>
                <w:i/>
                <w:kern w:val="0"/>
                <w:sz w:val="22"/>
                <w:szCs w:val="22"/>
                <w:highlight w:val="white"/>
                <w:lang w:val="ru-RU" w:eastAsia="ru-RU" w:bidi="ar-SA"/>
              </w:rPr>
              <w:t>Соблюдение требований к охране окружающей среды</w:t>
            </w:r>
          </w:p>
        </w:tc>
        <w:tc>
          <w:tcPr>
            <w:tcW w:w="7374" w:type="dxa"/>
            <w:tcBorders/>
          </w:tcPr>
          <w:p>
            <w:pPr>
              <w:pStyle w:val="Normal"/>
              <w:widowControl w:val="false"/>
              <w:spacing w:lineRule="auto" w:line="230" w:before="0" w:after="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При выполнении всех ремонтных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</w:p>
          <w:p>
            <w:pPr>
              <w:pStyle w:val="Normal"/>
              <w:widowControl w:val="false"/>
              <w:spacing w:lineRule="auto" w:line="230" w:before="0" w:after="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Отходы, строительный мусор должны своевременно вывозиться для дальнейшей утилизации.</w:t>
            </w:r>
          </w:p>
          <w:p>
            <w:pPr>
              <w:pStyle w:val="Normal"/>
              <w:widowControl w:val="false"/>
              <w:spacing w:lineRule="auto" w:line="230" w:before="0" w:after="0"/>
              <w:ind w:right="37" w:hanging="0"/>
              <w:contextualSpacing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Мероприятия и работы по охране окружающей среды вести в соответствии: 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283" w:leader="none"/>
              </w:tabs>
              <w:spacing w:lineRule="auto" w:line="230" w:before="0" w:after="0"/>
              <w:ind w:left="0" w:right="37" w:hanging="0"/>
              <w:contextualSpacing/>
              <w:jc w:val="both"/>
              <w:rPr>
                <w:rFonts w:eastAsia="Calibri"/>
                <w:i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Федеральный закон от 10.01.2002 № 7-ФЗ «Об охране окружающей среды» (ред. от 02.07.21);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283" w:leader="none"/>
              </w:tabs>
              <w:spacing w:lineRule="auto" w:line="230" w:before="0" w:after="0"/>
              <w:ind w:left="0" w:right="37" w:hanging="0"/>
              <w:contextualSpacing/>
              <w:jc w:val="both"/>
              <w:rPr>
                <w:rFonts w:eastAsia="Calibri"/>
                <w:i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Федеральный закон от 04.05.1999 № 96-ФЗ «Об охране атмосферного воздуха» (ред. от 11.06.2021);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tabs>
                <w:tab w:val="clear" w:pos="708"/>
                <w:tab w:val="left" w:pos="283" w:leader="none"/>
              </w:tabs>
              <w:spacing w:lineRule="auto" w:line="230" w:before="0" w:after="0"/>
              <w:ind w:left="0" w:right="225" w:hanging="0"/>
              <w:contextualSpacing/>
              <w:jc w:val="both"/>
              <w:rPr>
                <w:rFonts w:eastAsia="Calibri"/>
                <w:i/>
                <w:i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Водный кодекс Российской Федерации;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6" w:leader="none"/>
              </w:tabs>
              <w:spacing w:lineRule="auto" w:line="230" w:before="0" w:after="0"/>
              <w:contextualSpacing/>
              <w:jc w:val="both"/>
              <w:rPr>
                <w:rFonts w:eastAsia="Calibri"/>
                <w:bCs/>
                <w:sz w:val="22"/>
                <w:szCs w:val="22"/>
                <w:highlight w:val="white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rFonts w:eastAsia="Calibri"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.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87" w:hRule="atLeast"/>
        </w:trPr>
        <w:tc>
          <w:tcPr>
            <w:tcW w:w="1021" w:type="dxa"/>
            <w:tcBorders/>
          </w:tcPr>
          <w:p>
            <w:pPr>
              <w:pStyle w:val="Normal"/>
              <w:widowControl w:val="false"/>
              <w:spacing w:before="60" w:after="60"/>
              <w:contextualSpacing/>
              <w:jc w:val="left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1.5.4.</w:t>
            </w:r>
          </w:p>
        </w:tc>
        <w:tc>
          <w:tcPr>
            <w:tcW w:w="2551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left"/>
              <w:outlineLvl w:val="2"/>
              <w:rPr>
                <w:rFonts w:eastAsia="Calibri"/>
                <w:bCs/>
                <w:sz w:val="22"/>
                <w:szCs w:val="22"/>
                <w:highlight w:val="white"/>
              </w:rPr>
            </w:pPr>
            <w:r>
              <w:rPr>
                <w:rFonts w:eastAsia="Calibri"/>
                <w:i/>
                <w:kern w:val="0"/>
                <w:sz w:val="22"/>
                <w:szCs w:val="22"/>
                <w:highlight w:val="white"/>
                <w:lang w:val="ru-RU" w:eastAsia="ru-RU" w:bidi="ar-SA"/>
              </w:rPr>
              <w:t>Соблюдение требований охраны труда</w:t>
            </w:r>
          </w:p>
        </w:tc>
        <w:tc>
          <w:tcPr>
            <w:tcW w:w="7374" w:type="dxa"/>
            <w:tcBorders/>
          </w:tcPr>
          <w:p>
            <w:pPr>
              <w:pStyle w:val="Normal"/>
              <w:widowControl w:val="false"/>
              <w:spacing w:lineRule="auto" w:line="230" w:before="0" w:after="0"/>
              <w:ind w:firstLine="430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 </w:t>
            </w:r>
          </w:p>
          <w:p>
            <w:pPr>
              <w:pStyle w:val="Normal"/>
              <w:widowControl w:val="false"/>
              <w:spacing w:lineRule="auto" w:line="230" w:before="0" w:after="0"/>
              <w:ind w:firstLine="430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      </w:r>
          </w:p>
          <w:p>
            <w:pPr>
              <w:pStyle w:val="Normal"/>
              <w:widowControl w:val="false"/>
              <w:spacing w:lineRule="auto" w:line="230" w:before="0" w:after="0"/>
              <w:ind w:firstLine="430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Организация ремонтной площадки, участков работ и рабочих мест должна обеспечивать безопасность труда работающих на всех этапах выполнения ремонтных работ. Для производства работ в охранной зоне необходимо получить наряд-допуск.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pacing w:lineRule="auto" w:line="230" w:before="0" w:after="0"/>
              <w:ind w:firstLine="283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5" w:leader="none"/>
              </w:tabs>
              <w:spacing w:lineRule="auto" w:line="230" w:before="0" w:after="0"/>
              <w:ind w:left="62" w:hanging="0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lang w:val="ru-RU" w:eastAsia="ru-RU" w:bidi="ar-SA"/>
              </w:rPr>
              <w:t>Правила по охране труда при строительстве, реконструкции и ремонте (утверждены приказом Министерства труда от 11.12.2020 № 883н);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5" w:leader="none"/>
              </w:tabs>
              <w:spacing w:lineRule="auto" w:line="230" w:before="0" w:after="0"/>
              <w:ind w:left="62" w:hanging="0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Правила по охране труда при работе на высоте (утверждены приказом Министерства труда от 16.11.2020 №782н)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5" w:leader="none"/>
              </w:tabs>
              <w:spacing w:lineRule="auto" w:line="230" w:before="0" w:after="0"/>
              <w:ind w:left="62" w:hanging="0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Правила по охране труда при работе с инструментом и приспособлениями (утверждены приказом Министерства труда от 27.11.2020 № 835н);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425" w:leader="none"/>
              </w:tabs>
              <w:spacing w:lineRule="auto" w:line="230" w:before="0" w:after="0"/>
              <w:ind w:left="62" w:hanging="0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Правила по охране труда при эксплуатации электроустановок, утвержденные Приказом Министерства труда и социальной защиты РФ от 15.12.2020 №903н. 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13" w:leader="none"/>
                <w:tab w:val="left" w:pos="413" w:leader="none"/>
              </w:tabs>
              <w:spacing w:lineRule="auto" w:line="230" w:before="0" w:after="0"/>
              <w:ind w:left="62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Правила при погрузочно-разгрузочных работах и размещении грузов (утв. приказом Министерства труда и социальной защиты Российской Федерации от 28.10.2020 №753н);</w:t>
            </w:r>
          </w:p>
          <w:p>
            <w:pPr>
              <w:pStyle w:val="Normal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13" w:leader="none"/>
                <w:tab w:val="left" w:pos="413" w:leader="none"/>
              </w:tabs>
              <w:spacing w:lineRule="auto" w:line="230" w:before="0" w:after="0"/>
              <w:ind w:left="62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>Правила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 №461).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6" w:leader="none"/>
              </w:tabs>
              <w:spacing w:lineRule="auto" w:line="230" w:before="0" w:after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kern w:val="0"/>
                <w:sz w:val="22"/>
                <w:szCs w:val="22"/>
                <w:lang w:val="ru-RU" w:eastAsia="ru-RU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72" w:leader="none"/>
              </w:tabs>
              <w:spacing w:lineRule="auto" w:line="230" w:before="0" w:after="0"/>
              <w:contextualSpacing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i/>
                <w:kern w:val="0"/>
                <w:sz w:val="22"/>
                <w:szCs w:val="22"/>
                <w:highlight w:val="white"/>
                <w:lang w:val="ru-RU" w:eastAsia="ru-RU" w:bidi="ar-SA"/>
              </w:rPr>
              <w:t>Более подробно требования указаны в проекте договора подряда (в том числе в разделе № 2), который включен в состав Документации о закупке)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021" w:type="dxa"/>
            <w:tcBorders/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60" w:after="60"/>
              <w:contextualSpacing/>
              <w:jc w:val="left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tcW w:w="9925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21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left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2.1.</w:t>
            </w:r>
          </w:p>
        </w:tc>
        <w:tc>
          <w:tcPr>
            <w:tcW w:w="9925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Общие требования к результатам работ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bCs/>
                <w:i/>
                <w:i/>
                <w:sz w:val="22"/>
                <w:szCs w:val="22"/>
                <w:highlight w:val="none"/>
              </w:rPr>
            </w:pPr>
            <w:r>
              <w:rPr>
                <w:bCs/>
                <w:i/>
                <w:iCs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Состояние помещений после ремонта должно соответствовать требованиям нормативно-технической документации в течение гарантийного срока. 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bCs/>
                <w:i/>
                <w:i/>
                <w:sz w:val="22"/>
                <w:szCs w:val="22"/>
                <w:highlight w:val="white"/>
              </w:rPr>
            </w:pPr>
            <w:r>
              <w:rPr>
                <w:bCs/>
                <w:i/>
                <w:sz w:val="22"/>
                <w:szCs w:val="22"/>
                <w:highlight w:val="white"/>
              </w:rPr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60" w:after="0"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21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left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2.2.</w:t>
            </w:r>
          </w:p>
        </w:tc>
        <w:tc>
          <w:tcPr>
            <w:tcW w:w="9925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порядку приемки результатов работ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kern w:val="0"/>
                <w:sz w:val="22"/>
                <w:szCs w:val="22"/>
                <w:lang w:val="ru-RU" w:eastAsia="ru-RU" w:bidi="ar-SA"/>
              </w:rPr>
              <w:t>Подробно указаны в проекте договора подряда (в том числе в разделе № 4), который включен в состав Документации о закупке</w:t>
            </w:r>
            <w:r>
              <w:rPr>
                <w:kern w:val="0"/>
                <w:sz w:val="22"/>
                <w:szCs w:val="22"/>
                <w:lang w:val="ru-RU" w:eastAsia="ru-RU" w:bidi="ar-SA"/>
              </w:rPr>
              <w:t>.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21" w:type="dxa"/>
            <w:tcBorders/>
          </w:tcPr>
          <w:p>
            <w:pPr>
              <w:pStyle w:val="Normal"/>
              <w:widowControl w:val="false"/>
              <w:spacing w:before="60" w:after="60"/>
              <w:contextualSpacing/>
              <w:jc w:val="left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2.3.</w:t>
            </w:r>
          </w:p>
        </w:tc>
        <w:tc>
          <w:tcPr>
            <w:tcW w:w="9925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i/>
                <w:i/>
                <w:iCs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Требования к оформлению и составу документации</w:t>
            </w:r>
            <w:r>
              <w:rPr>
                <w:i/>
                <w:iCs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17" w:leader="none"/>
                <w:tab w:val="left" w:pos="1560" w:leader="none"/>
              </w:tabs>
              <w:spacing w:lineRule="auto" w:line="242" w:before="0" w:after="0"/>
              <w:ind w:firstLine="283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kern w:val="0"/>
                <w:sz w:val="22"/>
                <w:szCs w:val="22"/>
                <w:lang w:val="ru-RU" w:eastAsia="ru-RU" w:bidi="ar-SA"/>
              </w:rPr>
              <w:t xml:space="preserve">Представить Заказчику с актами выполненных работ (в 2 (двух) экземплярах, а также электронные версии Акта КС-2 и Справки КС-3 в формате *gsfx ПК «ГРАНД Смета» на цифровом носителе) исполнительную документацию в электронном виде (в формате *.pdf) и на бумажном носителе в 2-х экземплярах. 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17" w:leader="none"/>
                <w:tab w:val="left" w:pos="1560" w:leader="none"/>
              </w:tabs>
              <w:spacing w:lineRule="auto" w:line="242" w:before="0" w:after="0"/>
              <w:ind w:firstLine="283"/>
              <w:jc w:val="both"/>
              <w:rPr>
                <w:sz w:val="22"/>
                <w:szCs w:val="22"/>
              </w:rPr>
            </w:pPr>
            <w:r>
              <w:rPr>
                <w:rFonts w:eastAsia="Iosevka Term SS03"/>
                <w:i/>
                <w:iCs/>
                <w:color w:val="000000"/>
                <w:kern w:val="0"/>
                <w:sz w:val="22"/>
                <w:szCs w:val="22"/>
                <w:highlight w:val="white"/>
                <w:lang w:val="ru-RU" w:eastAsia="ru-RU" w:bidi="ar-SA"/>
              </w:rPr>
              <w:t>Исполнительная документация должна быть оформлена в соответствии с:</w:t>
            </w:r>
          </w:p>
          <w:p>
            <w:pPr>
              <w:pStyle w:val="Normal"/>
              <w:widowControl w:val="false"/>
              <w:numPr>
                <w:ilvl w:val="0"/>
                <w:numId w:val="26"/>
              </w:numPr>
              <w:shd w:val="clear" w:color="auto" w:fill="FFFFFF"/>
              <w:tabs>
                <w:tab w:val="clear" w:pos="708"/>
                <w:tab w:val="left" w:pos="425" w:leader="none"/>
                <w:tab w:val="left" w:pos="1560" w:leader="none"/>
              </w:tabs>
              <w:spacing w:lineRule="auto" w:line="242" w:before="0" w:after="0"/>
              <w:ind w:left="0" w:firstLine="283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Iosevka Term SS03"/>
                <w:i/>
                <w:iCs/>
                <w:color w:val="000000"/>
                <w:kern w:val="0"/>
                <w:sz w:val="22"/>
                <w:szCs w:val="22"/>
                <w:highlight w:val="white"/>
                <w:lang w:val="ru-RU" w:eastAsia="ru-RU" w:bidi="ar-SA"/>
              </w:rPr>
              <w:t>Приказом Министерства строительства и ЖКХ №344/пр от 16.05.2023 «С</w:t>
            </w:r>
            <w:r>
              <w:rPr>
                <w:i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остав и порядок ведения исполнительной документации при строительстве, реконструкции, капитальном ремонте объектов капитального строительства»</w:t>
            </w:r>
            <w:r>
              <w:rPr>
                <w:rFonts w:eastAsia="Iosevka Term SS03"/>
                <w:i/>
                <w:iCs/>
                <w:color w:val="000000"/>
                <w:kern w:val="0"/>
                <w:sz w:val="22"/>
                <w:szCs w:val="22"/>
                <w:highlight w:val="white"/>
                <w:lang w:val="ru-RU" w:eastAsia="ru-RU" w:bidi="ar-SA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26"/>
              </w:numPr>
              <w:shd w:val="clear" w:color="auto" w:fill="FFFFFF"/>
              <w:tabs>
                <w:tab w:val="clear" w:pos="708"/>
                <w:tab w:val="left" w:pos="425" w:leader="none"/>
                <w:tab w:val="left" w:pos="1560" w:leader="none"/>
              </w:tabs>
              <w:spacing w:lineRule="auto" w:line="242" w:before="0" w:after="0"/>
              <w:ind w:left="0" w:firstLine="283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Iosevka Term SS03"/>
                <w:i/>
                <w:iCs/>
                <w:color w:val="000000"/>
                <w:kern w:val="0"/>
                <w:sz w:val="22"/>
                <w:szCs w:val="22"/>
                <w:highlight w:val="white"/>
                <w:lang w:val="ru-RU" w:eastAsia="ru-RU" w:bidi="ar-SA"/>
              </w:rPr>
              <w:t>Регламентом оформления документации при проведении сварочных работ при монтаже и ремонте оборудования объектов АО «ДГК»» (приказ АО «ДГК» от 15.05.2023 №340);</w:t>
            </w:r>
          </w:p>
          <w:p>
            <w:pPr>
              <w:pStyle w:val="Normal"/>
              <w:widowControl w:val="false"/>
              <w:numPr>
                <w:ilvl w:val="0"/>
                <w:numId w:val="26"/>
              </w:numPr>
              <w:shd w:val="clear" w:color="auto" w:fill="FFFFFF"/>
              <w:tabs>
                <w:tab w:val="clear" w:pos="708"/>
                <w:tab w:val="left" w:pos="425" w:leader="none"/>
                <w:tab w:val="left" w:pos="1560" w:leader="none"/>
              </w:tabs>
              <w:spacing w:lineRule="auto" w:line="242" w:before="0" w:after="0"/>
              <w:ind w:left="0" w:firstLine="283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Iosevka Term SS03"/>
                <w:i/>
                <w:iCs/>
                <w:color w:val="000000"/>
                <w:kern w:val="0"/>
                <w:sz w:val="22"/>
                <w:szCs w:val="22"/>
                <w:highlight w:val="white"/>
                <w:lang w:val="ru-RU" w:eastAsia="ru-RU" w:bidi="ar-SA"/>
              </w:rPr>
              <w:t>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перевооружения», утвержденным приказом № 555 от 29.11.2019 АО «ДГК</w:t>
            </w:r>
            <w:r>
              <w:rPr>
                <w:rFonts w:eastAsia="Iosevka Term SS03"/>
                <w:i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».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17" w:leader="none"/>
                <w:tab w:val="left" w:pos="1560" w:leader="none"/>
              </w:tabs>
              <w:spacing w:before="0" w:after="0"/>
              <w:ind w:firstLine="283"/>
              <w:jc w:val="both"/>
              <w:rPr>
                <w:rFonts w:eastAsia="Iosevka Term SS03"/>
                <w:bCs/>
                <w:i/>
                <w:i/>
                <w:color w:val="000000"/>
                <w:sz w:val="22"/>
                <w:szCs w:val="22"/>
                <w:highlight w:val="white"/>
              </w:rPr>
            </w:pPr>
            <w:r>
              <w:rPr>
                <w:i/>
                <w:iCs/>
                <w:kern w:val="0"/>
                <w:sz w:val="22"/>
                <w:szCs w:val="22"/>
                <w:lang w:val="ru-RU" w:eastAsia="ru-RU" w:bidi="ar-SA"/>
              </w:rPr>
              <w:t xml:space="preserve">Подрядчик обязан оформить и передать Заказчику исполнительную и сдаточную документацию в следующем составе, но не ограничиваясь:          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tabs>
                <w:tab w:val="clear" w:pos="708"/>
                <w:tab w:val="left" w:pos="425" w:leader="none"/>
              </w:tabs>
              <w:spacing w:lineRule="auto" w:line="264" w:before="0" w:after="0"/>
              <w:ind w:left="0" w:right="72" w:firstLine="142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tabs>
                <w:tab w:val="clear" w:pos="708"/>
                <w:tab w:val="left" w:pos="425" w:leader="none"/>
              </w:tabs>
              <w:spacing w:lineRule="auto" w:line="264" w:before="0" w:after="0"/>
              <w:ind w:left="0" w:right="72" w:firstLine="142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tabs>
                <w:tab w:val="clear" w:pos="708"/>
                <w:tab w:val="left" w:pos="425" w:leader="none"/>
              </w:tabs>
              <w:spacing w:lineRule="auto" w:line="264" w:before="0" w:after="0"/>
              <w:ind w:left="0" w:right="72" w:firstLine="142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 xml:space="preserve">счета-фактуры на материалы, закупаемые Подрядчиком для использования в процессе ремонта;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tabs>
                <w:tab w:val="clear" w:pos="708"/>
                <w:tab w:val="left" w:pos="425" w:leader="none"/>
              </w:tabs>
              <w:spacing w:lineRule="auto" w:line="264" w:before="0" w:after="0"/>
              <w:ind w:left="0" w:right="72" w:firstLine="142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исполнительные чертежи;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tabs>
                <w:tab w:val="clear" w:pos="708"/>
                <w:tab w:val="left" w:pos="425" w:leader="none"/>
              </w:tabs>
              <w:spacing w:lineRule="auto" w:line="264" w:before="0" w:after="0"/>
              <w:ind w:left="0" w:right="72" w:firstLine="142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en-US" w:bidi="ar-SA"/>
              </w:rPr>
              <w:t>а</w:t>
            </w: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кт освидетельствования скрытых работ;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shd w:val="clear" w:color="auto" w:fill="FFFFFF"/>
              <w:tabs>
                <w:tab w:val="clear" w:pos="708"/>
                <w:tab w:val="left" w:pos="425" w:leader="none"/>
              </w:tabs>
              <w:spacing w:lineRule="auto" w:line="264" w:before="0" w:after="0"/>
              <w:ind w:left="0" w:right="72" w:firstLine="142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фактическая ведомость (опись) объёма ремонтно-строительных работ</w:t>
            </w: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shd w:val="clear" w:color="auto" w:fill="FFFFFF"/>
              <w:tabs>
                <w:tab w:val="clear" w:pos="708"/>
                <w:tab w:val="left" w:pos="425" w:leader="none"/>
              </w:tabs>
              <w:spacing w:lineRule="auto" w:line="264" w:before="0" w:after="0"/>
              <w:ind w:left="0" w:right="72" w:firstLine="142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акт приёмки из ремонта</w:t>
            </w: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 xml:space="preserve"> здания, сооружения</w:t>
            </w: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en-US" w:bidi="ar-SA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shd w:val="clear" w:color="auto" w:fill="FFFFFF"/>
              <w:tabs>
                <w:tab w:val="clear" w:pos="708"/>
                <w:tab w:val="left" w:pos="425" w:leader="none"/>
              </w:tabs>
              <w:spacing w:lineRule="auto" w:line="264" w:before="0" w:after="0"/>
              <w:ind w:left="0" w:right="72" w:firstLine="142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en-US" w:bidi="ar-SA"/>
              </w:rPr>
              <w:t>фото- видеозаписи результата работ (при необходимости);</w:t>
            </w:r>
          </w:p>
          <w:p>
            <w:pPr>
              <w:pStyle w:val="Normal"/>
              <w:widowControl w:val="false"/>
              <w:numPr>
                <w:ilvl w:val="0"/>
                <w:numId w:val="24"/>
              </w:numPr>
              <w:tabs>
                <w:tab w:val="clear" w:pos="708"/>
                <w:tab w:val="left" w:pos="425" w:leader="none"/>
              </w:tabs>
              <w:spacing w:before="60" w:after="0"/>
              <w:ind w:left="0" w:firstLine="142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kern w:val="0"/>
                <w:sz w:val="22"/>
                <w:szCs w:val="22"/>
                <w:lang w:val="ru-RU" w:eastAsia="ru-RU" w:bidi="ar-SA"/>
              </w:rPr>
              <w:t>другие документы по усмотрению Сторон с учетом специфики Работ.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21" w:type="dxa"/>
            <w:tcBorders/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60" w:after="60"/>
              <w:contextualSpacing/>
              <w:jc w:val="center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tcW w:w="9925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40" w:after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bCs/>
                <w:i/>
                <w:i/>
                <w:iCs/>
                <w:sz w:val="22"/>
                <w:szCs w:val="22"/>
              </w:rPr>
            </w:pPr>
            <w:r>
              <w:rPr>
                <w:i/>
                <w:kern w:val="0"/>
                <w:sz w:val="22"/>
                <w:szCs w:val="22"/>
                <w:lang w:val="ru-RU" w:eastAsia="ru-RU" w:bidi="ar-SA"/>
              </w:rPr>
              <w:t>Подробно указаны в проекте договора подряда (в том числе в разделе №2), который включен в состав Документации о закупке.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1021" w:type="dxa"/>
            <w:tcBorders/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60" w:after="60"/>
              <w:contextualSpacing/>
              <w:jc w:val="center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tcW w:w="9925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20" w:after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Требования к ответственности и гарантиям подрядчика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bCs/>
                <w:i/>
                <w:i/>
                <w:sz w:val="22"/>
                <w:szCs w:val="22"/>
              </w:rPr>
            </w:pPr>
            <w:r>
              <w:rPr>
                <w:rFonts w:eastAsia="Courier New"/>
                <w:i/>
                <w:color w:val="000000"/>
                <w:kern w:val="0"/>
                <w:sz w:val="22"/>
                <w:szCs w:val="22"/>
                <w:lang w:val="ru-RU" w:eastAsia="ru-RU" w:bidi="ru-RU"/>
              </w:rPr>
              <w:t xml:space="preserve">Подробно требования к сроку и объему предоставления гарантий указаны в проекте договора подряда </w:t>
            </w:r>
            <w:r>
              <w:rPr>
                <w:rFonts w:eastAsia="Courier New"/>
                <w:i/>
                <w:iCs/>
                <w:color w:val="000000"/>
                <w:kern w:val="0"/>
                <w:sz w:val="22"/>
                <w:szCs w:val="22"/>
                <w:lang w:val="ru-RU" w:eastAsia="ru-RU" w:bidi="ru-RU"/>
              </w:rPr>
              <w:t>(в том числе в разделах №6 и №7</w:t>
            </w:r>
            <w:r>
              <w:rPr>
                <w:rFonts w:eastAsia="Courier New"/>
                <w:i/>
                <w:color w:val="000000"/>
                <w:kern w:val="0"/>
                <w:sz w:val="22"/>
                <w:szCs w:val="22"/>
                <w:lang w:val="ru-RU" w:eastAsia="ru-RU" w:bidi="ru-RU"/>
              </w:rPr>
              <w:t>), который включен в состав Документации о закупке.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i/>
                <w:i/>
                <w:iCs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320" w:hRule="atLeast"/>
        </w:trPr>
        <w:tc>
          <w:tcPr>
            <w:tcW w:w="1021" w:type="dxa"/>
            <w:tcBorders/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60" w:after="60"/>
              <w:contextualSpacing/>
              <w:jc w:val="center"/>
              <w:rPr>
                <w:rFonts w:eastAsia="Calibri"/>
                <w:i/>
                <w:i/>
                <w:iCs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</w:r>
          </w:p>
        </w:tc>
        <w:tc>
          <w:tcPr>
            <w:tcW w:w="9925" w:type="dxa"/>
            <w:gridSpan w:val="3"/>
            <w:tcBorders/>
            <w:vAlign w:val="center"/>
          </w:tcPr>
          <w:p>
            <w:pPr>
              <w:pStyle w:val="Normal"/>
              <w:keepNext w:val="true"/>
              <w:widowControl w:val="false"/>
              <w:spacing w:before="60" w:after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Требования к подрядчику (и субподрядчикам) и его обязательствам, влияющим на исполнение договора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i/>
                <w:i/>
                <w:sz w:val="22"/>
                <w:szCs w:val="22"/>
              </w:rPr>
            </w:pPr>
            <w:r>
              <w:rPr>
                <w:i/>
                <w:kern w:val="0"/>
                <w:sz w:val="22"/>
                <w:szCs w:val="22"/>
                <w:lang w:val="ru-RU" w:eastAsia="ru-RU" w:bidi="ar-SA"/>
              </w:rPr>
              <w:t>Требования к субподрядным организациям, привлекаемым к выполнению работ подробно указаны в проекте договора подряда (в том числе в разделе №2), который включен в состав Документации о закупке</w:t>
            </w:r>
          </w:p>
        </w:tc>
        <w:tc>
          <w:tcPr>
            <w:tcW w:w="2093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>
          <w:trHeight w:val="320" w:hRule="atLeast"/>
        </w:trPr>
        <w:tc>
          <w:tcPr>
            <w:tcW w:w="1021" w:type="dxa"/>
            <w:tcBorders/>
          </w:tcPr>
          <w:p>
            <w:pPr>
              <w:pStyle w:val="Normal"/>
              <w:widowControl w:val="false"/>
              <w:numPr>
                <w:ilvl w:val="0"/>
                <w:numId w:val="9"/>
              </w:numPr>
              <w:spacing w:before="60" w:after="60"/>
              <w:contextualSpacing/>
              <w:jc w:val="center"/>
              <w:rPr>
                <w:rFonts w:eastAsia="Calibri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Calibri"/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14003" w:type="dxa"/>
            <w:gridSpan w:val="5"/>
            <w:tcBorders/>
            <w:vAlign w:val="center"/>
          </w:tcPr>
          <w:p>
            <w:pPr>
              <w:pStyle w:val="Normal"/>
              <w:keepNext w:val="true"/>
              <w:widowControl w:val="false"/>
              <w:spacing w:before="60" w:after="0"/>
              <w:jc w:val="left"/>
              <w:rPr>
                <w:b/>
                <w:bCs/>
                <w:i w:val="false"/>
                <w:i w:val="false"/>
                <w:iCs w:val="false"/>
                <w:sz w:val="22"/>
                <w:szCs w:val="22"/>
                <w:highlight w:val="none"/>
              </w:rPr>
            </w:pPr>
            <w:r>
              <w:rPr>
                <w:b/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Требования к победителю закупки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i w:val="false"/>
                <w:i w:val="false"/>
                <w:iCs w:val="false"/>
                <w:sz w:val="22"/>
                <w:szCs w:val="22"/>
                <w:highlight w:val="white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2"/>
                <w:szCs w:val="22"/>
                <w:highlight w:val="white"/>
                <w:lang w:val="ru-RU" w:eastAsia="en-US" w:bidi="ar-SA"/>
              </w:rPr>
              <w:t>Участник, признанный победителем закупочной процедуры, в течение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2"/>
                <w:szCs w:val="22"/>
                <w:highlight w:val="white"/>
                <w:u w:val="single"/>
                <w:lang w:val="ru-RU" w:eastAsia="en-US" w:bidi="ar-SA"/>
              </w:rPr>
              <w:t xml:space="preserve"> 5 (пяти) рабочих дней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2"/>
                <w:szCs w:val="22"/>
                <w:highlight w:val="white"/>
                <w:lang w:val="ru-RU" w:eastAsia="en-US" w:bidi="ar-SA"/>
              </w:rPr>
              <w:t xml:space="preserve"> после размещения протокола подведения итогов закупки на сайте www.zakupki.gov.ru (до заключения договора), должен предоставить в адрес Заказчика на электронный адрес (</w:t>
            </w:r>
            <w:r>
              <w:rPr>
                <w:i w:val="false"/>
                <w:iCs w:val="false"/>
                <w:kern w:val="0"/>
                <w:sz w:val="22"/>
                <w:szCs w:val="22"/>
                <w:lang w:val="ru-RU" w:eastAsia="ru-RU" w:bidi="ar-SA"/>
              </w:rPr>
              <w:t>chunarev-</w:t>
            </w:r>
            <w:r>
              <w:rPr>
                <w:i w:val="false"/>
                <w:iCs w:val="false"/>
                <w:kern w:val="0"/>
                <w:sz w:val="22"/>
                <w:szCs w:val="22"/>
                <w:highlight w:val="white"/>
                <w:lang w:val="ru-RU" w:eastAsia="ru-RU" w:bidi="ar-SA"/>
              </w:rPr>
              <w:t>dn@dgk.ru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aps w:val="false"/>
                <w:smallCaps w:val="false"/>
                <w:spacing w:val="0"/>
                <w:kern w:val="0"/>
                <w:sz w:val="22"/>
                <w:szCs w:val="22"/>
                <w:highlight w:val="white"/>
                <w:lang w:val="ru-RU" w:eastAsia="en-US" w:bidi="ar-SA"/>
              </w:rPr>
              <w:t>)</w:t>
            </w:r>
            <w:r>
              <w:rPr>
                <w:rFonts w:eastAsia="Times New Roman" w:cs="Times New Roman"/>
                <w:i w:val="false"/>
                <w:iCs w:val="false"/>
                <w:kern w:val="0"/>
                <w:sz w:val="22"/>
                <w:szCs w:val="22"/>
                <w:highlight w:val="white"/>
                <w:lang w:val="ru-RU" w:eastAsia="en-US" w:bidi="ar-SA"/>
              </w:rPr>
              <w:t xml:space="preserve"> дополнительные документы.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i w:val="false"/>
                <w:i w:val="false"/>
                <w:iCs w:val="false"/>
                <w:sz w:val="22"/>
                <w:szCs w:val="22"/>
                <w:highlight w:val="white"/>
              </w:rPr>
            </w:pPr>
            <w:r>
              <w:rPr>
                <w:rFonts w:eastAsia="Times New Roman" w:cs="Times New Roman"/>
                <w:i w:val="false"/>
                <w:iCs w:val="false"/>
                <w:kern w:val="0"/>
                <w:sz w:val="22"/>
                <w:szCs w:val="22"/>
                <w:highlight w:val="white"/>
                <w:lang w:val="ru-RU" w:eastAsia="en-US" w:bidi="ar-SA"/>
              </w:rPr>
              <w:t>В случае не предоставления документов, указанных в данном пункте в установленный срок, в соответствии с условиями Документации о закупке, Победитель признается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</w:p>
        </w:tc>
      </w:tr>
      <w:tr>
        <w:trPr>
          <w:trHeight w:val="320" w:hRule="atLeast"/>
        </w:trPr>
        <w:tc>
          <w:tcPr>
            <w:tcW w:w="1026" w:type="dxa"/>
            <w:gridSpan w:val="2"/>
            <w:tcBorders/>
          </w:tcPr>
          <w:p>
            <w:pPr>
              <w:pStyle w:val="Normal"/>
              <w:keepNext w:val="true"/>
              <w:widowControl w:val="false"/>
              <w:spacing w:before="60" w:after="0"/>
              <w:ind w:left="142" w:right="0" w:hanging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6.1.</w:t>
            </w:r>
          </w:p>
        </w:tc>
        <w:tc>
          <w:tcPr>
            <w:tcW w:w="992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0" w:right="141" w:hanging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highlight w:val="white"/>
                <w:u w:val="single"/>
                <w:lang w:val="ru-RU" w:eastAsia="en-US" w:bidi="ar-SA"/>
              </w:rPr>
              <w:t>Требования к кадровым ресурсам Победителя</w:t>
            </w:r>
          </w:p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en-US" w:bidi="ar-SA"/>
              </w:rPr>
              <w:t xml:space="preserve">1. Согласно </w:t>
            </w:r>
            <w:r>
              <w:rPr>
                <w:rFonts w:eastAsia="Times New Roman" w:cs="Times New Roman"/>
                <w:kern w:val="0"/>
                <w:sz w:val="22"/>
                <w:szCs w:val="22"/>
                <w:highlight w:val="white"/>
                <w:lang w:val="ru-RU" w:eastAsia="ru-RU" w:bidi="ar-SA"/>
              </w:rPr>
              <w:t>п.92 Постановления правительства Российской федерации от 24.12.2021 г.№2464 «О порядке обучения по охране труда и проверки знаний требований охраны труда»: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sz w:val="22"/>
                <w:szCs w:val="22"/>
                <w:highlight w:val="white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highlight w:val="white"/>
                <w:lang w:val="ru-RU" w:eastAsia="en-US" w:bidi="ru-RU"/>
              </w:rPr>
              <w:t>Иметь в наличие  не менее</w:t>
            </w:r>
            <w:r>
              <w:rPr>
                <w:rFonts w:eastAsia="Times New Roman" w:cs="Times New Roman"/>
                <w:kern w:val="0"/>
                <w:sz w:val="22"/>
                <w:szCs w:val="22"/>
                <w:highlight w:val="white"/>
                <w:lang w:val="ru-RU" w:eastAsia="en-US" w:bidi="ar-SA"/>
              </w:rPr>
              <w:t xml:space="preserve">  3 человек (руководитель, производитель работ и всех членов бригады) прошедших проверку знаний требований охраны труда.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141" w:hanging="0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2"/>
                <w:szCs w:val="22"/>
                <w:highlight w:val="white"/>
                <w:u w:val="single"/>
              </w:rPr>
            </w:r>
          </w:p>
        </w:tc>
        <w:tc>
          <w:tcPr>
            <w:tcW w:w="4078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highlight w:val="white"/>
                <w:u w:val="single"/>
                <w:lang w:val="ru-RU" w:eastAsia="en-US" w:bidi="ar-SA"/>
              </w:rPr>
              <w:t>Подтверждается</w:t>
            </w:r>
            <w:r>
              <w:rPr>
                <w:rFonts w:eastAsia="Times New Roman" w:cs="Times New Roman"/>
                <w:kern w:val="0"/>
                <w:sz w:val="22"/>
                <w:szCs w:val="22"/>
                <w:highlight w:val="white"/>
                <w:lang w:val="ru-RU" w:eastAsia="en-US" w:bidi="ar-SA"/>
              </w:rPr>
              <w:t>:</w:t>
            </w:r>
          </w:p>
          <w:p>
            <w:pPr>
              <w:pStyle w:val="Normal"/>
              <w:widowControl w:val="false"/>
              <w:spacing w:before="0" w:after="0"/>
              <w:ind w:left="0" w:right="141" w:hanging="0"/>
              <w:jc w:val="lef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highlight w:val="white"/>
                <w:lang w:val="ru-RU" w:eastAsia="en-US" w:bidi="ar-SA"/>
              </w:rPr>
              <w:t>-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копиями протокола (-ов) проверки знания требований охраны труда обученных лиц, не менее чем на 3 человек, (руководитель, производитель работ и всех членов бригады), которые будут непосредственно на объектах выполнять работы </w:t>
            </w:r>
          </w:p>
        </w:tc>
      </w:tr>
    </w:tbl>
    <w:p>
      <w:pPr>
        <w:pStyle w:val="Heading1"/>
        <w:keepNext w:val="false"/>
        <w:keepLines w:val="false"/>
        <w:widowControl w:val="false"/>
        <w:numPr>
          <w:ilvl w:val="0"/>
          <w:numId w:val="0"/>
        </w:numPr>
        <w:tabs>
          <w:tab w:val="clear" w:pos="708"/>
          <w:tab w:val="left" w:pos="426" w:leader="none"/>
        </w:tabs>
        <w:spacing w:before="60" w:after="60"/>
        <w:ind w:left="0" w:hanging="0"/>
        <w:jc w:val="left"/>
        <w:rPr>
          <w:sz w:val="24"/>
          <w:szCs w:val="24"/>
          <w:highlight w:val="none"/>
        </w:rPr>
      </w:pPr>
      <w:r>
        <w:rPr>
          <w:sz w:val="24"/>
          <w:szCs w:val="24"/>
        </w:rPr>
      </w:r>
    </w:p>
    <w:p>
      <w:pPr>
        <w:pStyle w:val="Heading1"/>
        <w:keepNext w:val="false"/>
        <w:keepLines w:val="false"/>
        <w:widowControl w:val="false"/>
        <w:numPr>
          <w:ilvl w:val="0"/>
          <w:numId w:val="0"/>
        </w:numPr>
        <w:tabs>
          <w:tab w:val="clear" w:pos="708"/>
          <w:tab w:val="left" w:pos="426" w:leader="none"/>
        </w:tabs>
        <w:spacing w:before="60" w:after="60"/>
        <w:ind w:left="0" w:hanging="0"/>
        <w:jc w:val="left"/>
        <w:rPr>
          <w:sz w:val="24"/>
          <w:szCs w:val="24"/>
          <w:highlight w:val="none"/>
        </w:rPr>
      </w:pPr>
      <w:r>
        <w:rPr>
          <w:sz w:val="24"/>
          <w:szCs w:val="24"/>
        </w:rPr>
      </w:r>
    </w:p>
    <w:p>
      <w:pPr>
        <w:pStyle w:val="Heading1"/>
        <w:keepNext w:val="false"/>
        <w:keepLines w:val="false"/>
        <w:widowControl w:val="false"/>
        <w:numPr>
          <w:ilvl w:val="0"/>
          <w:numId w:val="0"/>
        </w:numPr>
        <w:tabs>
          <w:tab w:val="clear" w:pos="708"/>
          <w:tab w:val="left" w:pos="426" w:leader="none"/>
        </w:tabs>
        <w:spacing w:before="60" w:after="60"/>
        <w:ind w:left="0" w:hanging="0"/>
        <w:jc w:val="left"/>
        <w:rPr>
          <w:sz w:val="24"/>
          <w:szCs w:val="24"/>
          <w:highlight w:val="none"/>
        </w:rPr>
      </w:pPr>
      <w:r>
        <w:rPr>
          <w:sz w:val="24"/>
          <w:szCs w:val="24"/>
        </w:rPr>
      </w:r>
    </w:p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1134" w:gutter="0" w:header="709" w:top="1134" w:footer="0" w:bottom="851"/>
          <w:pgNumType w:fmt="decimal"/>
          <w:formProt w:val="false"/>
          <w:titlePg/>
          <w:textDirection w:val="lrTb"/>
          <w:docGrid w:type="default" w:linePitch="360" w:charSpace="0"/>
        </w:sectPr>
        <w:pStyle w:val="Heading1"/>
        <w:keepNext w:val="false"/>
        <w:keepLines w:val="false"/>
        <w:widowControl w:val="false"/>
        <w:numPr>
          <w:ilvl w:val="0"/>
          <w:numId w:val="0"/>
        </w:numPr>
        <w:tabs>
          <w:tab w:val="clear" w:pos="708"/>
          <w:tab w:val="left" w:pos="426" w:leader="none"/>
        </w:tabs>
        <w:spacing w:before="60" w:after="60"/>
        <w:ind w:left="0" w:hanging="0"/>
        <w:jc w:val="left"/>
        <w:rPr>
          <w:sz w:val="24"/>
          <w:szCs w:val="24"/>
          <w:highlight w:val="none"/>
        </w:rPr>
      </w:pPr>
      <w:r>
        <w:rPr>
          <w:sz w:val="24"/>
          <w:szCs w:val="24"/>
        </w:rPr>
      </w:r>
    </w:p>
    <w:p>
      <w:pPr>
        <w:pStyle w:val="Heading1"/>
        <w:keepNext w:val="false"/>
        <w:keepLines w:val="false"/>
        <w:widowControl w:val="false"/>
        <w:numPr>
          <w:ilvl w:val="0"/>
          <w:numId w:val="0"/>
        </w:numPr>
        <w:tabs>
          <w:tab w:val="clear" w:pos="708"/>
          <w:tab w:val="left" w:pos="426" w:leader="none"/>
        </w:tabs>
        <w:spacing w:before="60" w:after="60"/>
        <w:ind w:left="0" w:hanging="0"/>
        <w:jc w:val="center"/>
        <w:rPr>
          <w:sz w:val="24"/>
          <w:szCs w:val="24"/>
          <w:highlight w:val="none"/>
        </w:rPr>
      </w:pPr>
      <w:r>
        <w:rPr>
          <w:sz w:val="24"/>
          <w:szCs w:val="24"/>
        </w:rPr>
        <w:t>3. Требования к документации по ценообразованию на этапе закупки</w:t>
      </w:r>
    </w:p>
    <w:p>
      <w:pPr>
        <w:pStyle w:val="Normal"/>
        <w:keepNext w:val="false"/>
        <w:keepLines w:val="false"/>
        <w:widowControl w:val="false"/>
        <w:tabs>
          <w:tab w:val="clear" w:pos="708"/>
          <w:tab w:val="left" w:pos="1078" w:leader="none"/>
        </w:tabs>
        <w:suppressAutoHyphens w:val="true"/>
        <w:bidi w:val="0"/>
        <w:spacing w:before="0" w:after="0"/>
        <w:ind w:left="0" w:right="0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</w:t>
      </w:r>
      <w:r>
        <w:rPr>
          <w:sz w:val="24"/>
          <w:szCs w:val="24"/>
        </w:rPr>
        <w:t>1.</w:t>
        <w:tab/>
      </w:r>
      <w:r>
        <w:rPr>
          <w:rFonts w:eastAsia="Calibri"/>
          <w:sz w:val="24"/>
          <w:szCs w:val="24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</w:t>
      </w:r>
    </w:p>
    <w:p>
      <w:pPr>
        <w:pStyle w:val="Normal"/>
        <w:keepNext w:val="false"/>
        <w:keepLines w:val="false"/>
        <w:widowControl w:val="false"/>
        <w:tabs>
          <w:tab w:val="clear" w:pos="708"/>
          <w:tab w:val="left" w:pos="1078" w:leader="none"/>
        </w:tabs>
        <w:suppressAutoHyphens w:val="true"/>
        <w:bidi w:val="0"/>
        <w:spacing w:before="0" w:after="0"/>
        <w:ind w:left="0" w:right="0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</w:t>
      </w:r>
      <w:r>
        <w:rPr>
          <w:sz w:val="24"/>
          <w:szCs w:val="24"/>
        </w:rPr>
        <w:t>2.</w:t>
        <w:tab/>
      </w:r>
      <w:r>
        <w:rPr>
          <w:rFonts w:eastAsia="Calibri"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keepNext w:val="false"/>
        <w:keepLines w:val="false"/>
        <w:widowControl w:val="false"/>
        <w:tabs>
          <w:tab w:val="clear" w:pos="708"/>
          <w:tab w:val="left" w:pos="1078" w:leader="none"/>
        </w:tabs>
        <w:spacing w:before="0" w:after="0"/>
        <w:ind w:left="5038" w:firstLine="567"/>
        <w:jc w:val="both"/>
        <w:rPr>
          <w:rFonts w:eastAsia="Calibri"/>
          <w:b/>
          <w:iCs/>
          <w:sz w:val="24"/>
          <w:szCs w:val="24"/>
        </w:rPr>
      </w:pPr>
      <w:r>
        <w:rPr>
          <w:rFonts w:eastAsia="Calibri"/>
          <w:b/>
          <w:iCs/>
          <w:sz w:val="24"/>
          <w:szCs w:val="24"/>
        </w:rPr>
      </w:r>
    </w:p>
    <w:p>
      <w:pPr>
        <w:pStyle w:val="Heading1"/>
        <w:keepNext w:val="false"/>
        <w:keepLines w:val="false"/>
        <w:widowControl w:val="false"/>
        <w:numPr>
          <w:ilvl w:val="0"/>
          <w:numId w:val="0"/>
        </w:numPr>
        <w:spacing w:before="120" w:after="60"/>
        <w:ind w:left="0" w:hanging="0"/>
        <w:jc w:val="center"/>
        <w:rPr>
          <w:sz w:val="24"/>
          <w:szCs w:val="24"/>
        </w:rPr>
      </w:pPr>
      <w:r>
        <w:rPr>
          <w:sz w:val="24"/>
          <w:szCs w:val="24"/>
        </w:rPr>
        <w:t>4. Требования к составлению сметной документации на этапе заключения (исполнения) договора</w:t>
      </w:r>
      <w:r>
        <w:rPr>
          <w:b w:val="false"/>
          <w:sz w:val="24"/>
          <w:szCs w:val="24"/>
        </w:rPr>
        <w:t xml:space="preserve"> </w:t>
      </w:r>
    </w:p>
    <w:p>
      <w:pPr>
        <w:pStyle w:val="ListParagraph"/>
        <w:keepNext w:val="false"/>
        <w:keepLines w:val="false"/>
        <w:widowControl w:val="false"/>
        <w:shd w:val="clear" w:color="auto" w:fill="FFFFFF"/>
        <w:tabs>
          <w:tab w:val="clear" w:pos="708"/>
          <w:tab w:val="left" w:pos="283" w:leader="none"/>
          <w:tab w:val="left" w:pos="567" w:leader="none"/>
        </w:tabs>
        <w:spacing w:before="0" w:after="0"/>
        <w:ind w:left="0" w:right="0" w:firstLine="567"/>
        <w:contextualSpacing w:val="false"/>
        <w:jc w:val="both"/>
        <w:rPr>
          <w:bCs/>
        </w:rPr>
      </w:pPr>
      <w:r>
        <w:rPr>
          <w:bCs/>
        </w:rPr>
        <w:t>4.1. Требования к составлению сметной документации при заключении договора:</w:t>
      </w:r>
    </w:p>
    <w:p>
      <w:pPr>
        <w:pStyle w:val="ListParagraph"/>
        <w:keepNext w:val="false"/>
        <w:keepLines w:val="false"/>
        <w:widowControl w:val="false"/>
        <w:shd w:val="clear" w:color="auto" w:fill="FFFFFF"/>
        <w:tabs>
          <w:tab w:val="clear" w:pos="708"/>
          <w:tab w:val="left" w:pos="709" w:leader="none"/>
        </w:tabs>
        <w:spacing w:before="0" w:after="0"/>
        <w:ind w:left="0" w:right="0" w:firstLine="567"/>
        <w:contextualSpacing w:val="false"/>
        <w:jc w:val="both"/>
        <w:rPr/>
      </w:pPr>
      <w:r>
        <w:rPr>
          <w:bCs/>
        </w:rPr>
        <w:t>4.1.1. 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№1</w:t>
      </w:r>
      <w:bookmarkStart w:id="32" w:name="_GoBack"/>
      <w:bookmarkEnd w:id="32"/>
      <w:r>
        <w:rPr>
          <w:bCs/>
        </w:rPr>
        <w:t xml:space="preserve">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локальном сметном расчете единым индексом в итогах (после начисления лимитированных затрат до начисления НДС).</w:t>
      </w:r>
    </w:p>
    <w:p>
      <w:pPr>
        <w:pStyle w:val="Normal"/>
        <w:keepNext w:val="false"/>
        <w:keepLines w:val="false"/>
        <w:widowControl w:val="false"/>
        <w:spacing w:before="0" w:after="0"/>
        <w:ind w:left="0" w:right="0" w:firstLine="567"/>
        <w:jc w:val="both"/>
        <w:rPr/>
      </w:pPr>
      <w:r>
        <w:rPr>
          <w:rFonts w:eastAsia="Calibri"/>
          <w:sz w:val="24"/>
          <w:szCs w:val="24"/>
          <w:highlight w:val="white"/>
        </w:rPr>
        <w:t xml:space="preserve">Порядок расчета понижающего коэффициента определяется по формуле: </w:t>
      </w:r>
    </w:p>
    <w:p>
      <w:pPr>
        <w:pStyle w:val="Normal"/>
        <w:keepNext w:val="false"/>
        <w:keepLines w:val="false"/>
        <w:widowControl w:val="false"/>
        <w:spacing w:before="0" w:after="0"/>
        <w:ind w:left="0" w:right="0" w:firstLine="567"/>
        <w:jc w:val="center"/>
        <w:rPr/>
      </w:pPr>
      <w:r>
        <w:rPr>
          <w:rFonts w:eastAsia="Calibri"/>
          <w:sz w:val="24"/>
          <w:szCs w:val="24"/>
          <w:highlight w:val="white"/>
        </w:rPr>
        <w:t>P=N*k,</w:t>
      </w:r>
    </w:p>
    <w:p>
      <w:pPr>
        <w:pStyle w:val="Normal"/>
        <w:keepNext w:val="false"/>
        <w:keepLines w:val="false"/>
        <w:widowControl w:val="false"/>
        <w:spacing w:before="0" w:after="0"/>
        <w:ind w:left="0" w:right="0" w:firstLine="567"/>
        <w:jc w:val="both"/>
        <w:rPr/>
      </w:pPr>
      <w:r>
        <w:rPr>
          <w:rFonts w:eastAsia="Calibri"/>
          <w:sz w:val="24"/>
          <w:szCs w:val="24"/>
          <w:highlight w:val="white"/>
        </w:rPr>
        <w:t>где     P – стоимость предложения участника;</w:t>
      </w:r>
    </w:p>
    <w:p>
      <w:pPr>
        <w:pStyle w:val="Normal"/>
        <w:keepNext w:val="false"/>
        <w:keepLines w:val="false"/>
        <w:widowControl w:val="false"/>
        <w:spacing w:before="0" w:after="0"/>
        <w:ind w:left="0" w:right="0" w:firstLine="567"/>
        <w:jc w:val="both"/>
        <w:rPr/>
      </w:pPr>
      <w:r>
        <w:rPr>
          <w:rFonts w:eastAsia="Calibri"/>
          <w:sz w:val="24"/>
          <w:szCs w:val="24"/>
          <w:highlight w:val="white"/>
        </w:rPr>
        <w:t>N – начальная (максимальная) цена договора, определенная в соответствии со сметной документацией Заказчика, приведенной в приложении №3 к ТТ;</w:t>
      </w:r>
    </w:p>
    <w:p>
      <w:pPr>
        <w:pStyle w:val="Normal"/>
        <w:keepNext w:val="false"/>
        <w:keepLines w:val="false"/>
        <w:widowControl w:val="false"/>
        <w:spacing w:before="0" w:after="0"/>
        <w:ind w:left="0" w:right="0" w:firstLine="567"/>
        <w:jc w:val="both"/>
        <w:rPr>
          <w:rFonts w:eastAsia="Calibri"/>
          <w:highlight w:val="white"/>
        </w:rPr>
      </w:pPr>
      <w:r>
        <w:rPr>
          <w:rFonts w:eastAsia="Calibri"/>
          <w:sz w:val="24"/>
          <w:szCs w:val="24"/>
          <w:highlight w:val="white"/>
        </w:rPr>
        <w:t>k – понижающий коэффициент, заявленный участником в коммерческом предложении (точность понижающего коэффициента указывается до 7 знаков после запятой).</w:t>
      </w:r>
    </w:p>
    <w:p>
      <w:pPr>
        <w:pStyle w:val="ListParagraph"/>
        <w:keepNext w:val="false"/>
        <w:keepLines w:val="false"/>
        <w:widowControl w:val="false"/>
        <w:shd w:val="clear" w:color="auto" w:fill="FFFFFF"/>
        <w:tabs>
          <w:tab w:val="clear" w:pos="708"/>
          <w:tab w:val="left" w:pos="425" w:leader="none"/>
          <w:tab w:val="left" w:pos="709" w:leader="none"/>
        </w:tabs>
        <w:spacing w:before="0" w:after="0"/>
        <w:ind w:left="0" w:right="0" w:firstLine="567"/>
        <w:contextualSpacing w:val="false"/>
        <w:jc w:val="both"/>
        <w:rPr/>
      </w:pPr>
      <w:r>
        <w:rPr>
          <w:bCs/>
        </w:rPr>
        <w:t>4.1.2. Внесение изменений в сметную документацию заказчика, кроме применения понижающего коэффициента в соответствии с п. 4.1.1, не допускается.</w:t>
      </w:r>
    </w:p>
    <w:p>
      <w:pPr>
        <w:pStyle w:val="ListParagraph"/>
        <w:keepNext w:val="false"/>
        <w:keepLines w:val="false"/>
        <w:widowControl w:val="false"/>
        <w:shd w:val="clear" w:color="auto" w:fill="FFFFFF"/>
        <w:tabs>
          <w:tab w:val="clear" w:pos="708"/>
          <w:tab w:val="left" w:pos="709" w:leader="none"/>
        </w:tabs>
        <w:spacing w:before="0" w:after="0"/>
        <w:ind w:left="0" w:right="0" w:firstLine="567"/>
        <w:contextualSpacing w:val="false"/>
        <w:jc w:val="both"/>
        <w:rPr>
          <w:b w:val="false"/>
          <w:bCs w:val="false"/>
          <w:highlight w:val="white"/>
        </w:rPr>
      </w:pPr>
      <w:r>
        <w:rPr>
          <w:b w:val="false"/>
          <w:bCs w:val="false"/>
        </w:rPr>
        <w:t xml:space="preserve">4.2. </w:t>
      </w:r>
      <w:r>
        <w:rPr>
          <w:b w:val="false"/>
          <w:bCs w:val="false"/>
          <w:highlight w:val="white"/>
        </w:rPr>
        <w:t>Требования к составлению сметной документации на этапе исполнения договора:</w:t>
      </w:r>
      <w:r>
        <w:rPr>
          <w:b w:val="false"/>
        </w:rPr>
        <w:t xml:space="preserve">4.2.1. </w:t>
      </w:r>
      <w:r>
        <w:rPr>
          <w:b w:val="false"/>
          <w:highlight w:val="white"/>
        </w:rPr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№1 к ТТ.</w:t>
      </w:r>
    </w:p>
    <w:p>
      <w:pPr>
        <w:pStyle w:val="ListParagraph"/>
        <w:keepNext w:val="false"/>
        <w:keepLines w:val="false"/>
        <w:widowControl w:val="false"/>
        <w:shd w:val="clear" w:color="auto" w:fill="FFFFFF"/>
        <w:tabs>
          <w:tab w:val="clear" w:pos="708"/>
          <w:tab w:val="left" w:pos="709" w:leader="none"/>
        </w:tabs>
        <w:spacing w:before="0" w:after="0"/>
        <w:ind w:left="0" w:right="0" w:firstLine="567"/>
        <w:contextualSpacing w:val="false"/>
        <w:jc w:val="both"/>
        <w:rPr>
          <w:highlight w:val="none"/>
        </w:rPr>
      </w:pPr>
      <w:r>
        <w:rPr>
          <w:b w:val="false"/>
        </w:rPr>
        <w:t xml:space="preserve">4.2.2. </w:t>
      </w:r>
      <w:r>
        <w:rPr>
          <w:b w:val="false"/>
          <w:highlight w:val="white"/>
        </w:rPr>
        <w:t>Материалы, приобретаемые Подрядчиком в рамках непредвиденных расходов, подлежат оплате на основании платёжных документов (счет-фактура, накладная, платежное поручение банка и др.) по нормативному расходу. Материалы, учтённые в расценках по сборникам ФССЦ, подтверждать платёжными документами не требуется. Поставляемые материалы должны соответствовать спецификациям, указанным в нормативной документации, иметь соответствующие сертификаты, технические паспорта и другие документы, подтверждающие их качество.</w:t>
      </w:r>
    </w:p>
    <w:p>
      <w:pPr>
        <w:pStyle w:val="Heading1"/>
        <w:keepNext w:val="false"/>
        <w:keepLines w:val="false"/>
        <w:widowControl w:val="false"/>
        <w:numPr>
          <w:ilvl w:val="0"/>
          <w:numId w:val="28"/>
        </w:numPr>
        <w:spacing w:before="120" w:after="60"/>
        <w:jc w:val="left"/>
        <w:rPr>
          <w:iCs/>
        </w:rPr>
      </w:pPr>
      <w:bookmarkStart w:id="33" w:name="_Toc127778194"/>
      <w:r>
        <w:rPr>
          <w:sz w:val="24"/>
          <w:szCs w:val="24"/>
        </w:rPr>
        <w:t>Приложения</w:t>
      </w:r>
      <w:bookmarkEnd w:id="33"/>
    </w:p>
    <w:p>
      <w:pPr>
        <w:pStyle w:val="Normal"/>
        <w:keepNext w:val="false"/>
        <w:keepLines w:val="false"/>
        <w:widowControl w:val="false"/>
        <w:spacing w:before="120" w:after="120"/>
        <w:jc w:val="left"/>
        <w:rPr>
          <w:sz w:val="24"/>
          <w:szCs w:val="24"/>
        </w:rPr>
      </w:pPr>
      <w:r>
        <w:rPr>
          <w:sz w:val="24"/>
          <w:szCs w:val="24"/>
        </w:rPr>
        <w:t>Приложение № 1: Требования к оформлению и составлению документации по ценообразованию;</w:t>
      </w:r>
    </w:p>
    <w:p>
      <w:pPr>
        <w:pStyle w:val="Normal"/>
        <w:keepNext w:val="false"/>
        <w:keepLines w:val="false"/>
        <w:widowControl w:val="false"/>
        <w:spacing w:before="120" w:after="120"/>
        <w:jc w:val="left"/>
        <w:rPr>
          <w:sz w:val="24"/>
          <w:szCs w:val="24"/>
        </w:rPr>
      </w:pPr>
      <w:r>
        <w:rPr>
          <w:sz w:val="24"/>
          <w:szCs w:val="24"/>
        </w:rPr>
        <w:t>Приложение № 2: Ведомости объемов работ (ВОР) №2.1-2.4;</w:t>
      </w:r>
    </w:p>
    <w:p>
      <w:pPr>
        <w:pStyle w:val="Normal"/>
        <w:keepNext w:val="false"/>
        <w:keepLines w:val="false"/>
        <w:widowControl w:val="false"/>
        <w:spacing w:before="120" w:after="120"/>
        <w:jc w:val="left"/>
        <w:rPr>
          <w:bCs/>
          <w:sz w:val="24"/>
          <w:szCs w:val="24"/>
        </w:rPr>
      </w:pPr>
      <w:r>
        <w:rPr>
          <w:sz w:val="24"/>
          <w:szCs w:val="24"/>
        </w:rPr>
        <w:t xml:space="preserve">Приложение № 3: Сводный </w:t>
      </w:r>
      <w:r>
        <w:rPr>
          <w:bCs/>
          <w:sz w:val="24"/>
          <w:szCs w:val="24"/>
        </w:rPr>
        <w:t>сметный расчет с приложениями №3.1-3.4;</w:t>
      </w:r>
    </w:p>
    <w:p>
      <w:pPr>
        <w:pStyle w:val="Normal"/>
        <w:keepNext w:val="false"/>
        <w:keepLines w:val="false"/>
        <w:widowControl w:val="false"/>
        <w:spacing w:before="120" w:after="120"/>
        <w:jc w:val="left"/>
        <w:rPr>
          <w:sz w:val="24"/>
          <w:szCs w:val="24"/>
        </w:rPr>
      </w:pPr>
      <w:r>
        <w:rPr>
          <w:sz w:val="24"/>
          <w:szCs w:val="24"/>
        </w:rPr>
        <w:t>Приложение № 4: Положение о допуске персонала подрядных организаций к выполнению работ на объектах АО «ДГК» 22.1-504-2026 (Утверждено приказом АО «ДГК» от 22.07.2026 № П-ДГК/649).</w:t>
      </w:r>
    </w:p>
    <w:p>
      <w:pPr>
        <w:pStyle w:val="Normal"/>
        <w:keepNext w:val="false"/>
        <w:keepLines w:val="false"/>
        <w:widowControl w:val="false"/>
        <w:spacing w:before="120" w:after="12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false"/>
        <w:keepLines w:val="false"/>
        <w:widowControl w:val="false"/>
        <w:spacing w:before="120" w:after="12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false"/>
        <w:keepLines w:val="false"/>
        <w:widowControl w:val="false"/>
        <w:spacing w:before="120" w:after="120"/>
        <w:jc w:val="left"/>
        <w:rPr>
          <w:sz w:val="24"/>
          <w:szCs w:val="24"/>
          <w:highlight w:val="none"/>
        </w:rPr>
      </w:pPr>
      <w:r>
        <w:rPr>
          <w:sz w:val="24"/>
          <w:szCs w:val="24"/>
        </w:rPr>
      </w:r>
    </w:p>
    <w:p>
      <w:pPr>
        <w:pStyle w:val="Normal"/>
        <w:widowControl w:val="false"/>
        <w:spacing w:before="120" w:after="120"/>
        <w:jc w:val="left"/>
        <w:rPr>
          <w:sz w:val="24"/>
          <w:szCs w:val="24"/>
          <w:highlight w:val="none"/>
        </w:rPr>
      </w:pPr>
      <w:r>
        <w:rPr/>
      </w:r>
    </w:p>
    <w:sectPr>
      <w:headerReference w:type="default" r:id="rId7"/>
      <w:headerReference w:type="first" r:id="rId8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0</w:t>
                          </w:r>
                          <w:r>
                            <w:rPr/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0</w:t>
                    </w:r>
                    <w:r>
                      <w:rPr/>
                      <w:fldChar w:fldCharType="end"/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13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590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4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u w:val="non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b/>
        <w:szCs w:val="22"/>
        <w:bCs w:val="fals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00" w:hanging="432"/>
      </w:pPr>
      <w:rPr>
        <w:sz w:val="22"/>
        <w:b/>
        <w:szCs w:val="22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0"/>
        </w:tabs>
        <w:ind w:left="11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36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lvl w:ilvl="0">
      <w:start w:val="1"/>
      <w:numFmt w:val="bullet"/>
      <w:lvlText w:val=""/>
      <w:lvlJc w:val="left"/>
      <w:pPr>
        <w:tabs>
          <w:tab w:val="num" w:pos="0"/>
        </w:tabs>
        <w:ind w:left="11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36" w:hanging="360"/>
      </w:pPr>
      <w:rPr>
        <w:rFonts w:ascii="Wingdings" w:hAnsi="Wingdings" w:cs="Wingdings" w:hint="default"/>
      </w:rPr>
    </w:lvl>
  </w:abstractNum>
  <w:abstractNum w:abstractNumId="28">
    <w:lvl w:ilvl="0">
      <w:start w:val="5"/>
      <w:numFmt w:val="decimal"/>
      <w:lvlText w:val="%1."/>
      <w:lvlJc w:val="left"/>
      <w:pPr>
        <w:tabs>
          <w:tab w:val="num" w:pos="0"/>
        </w:tabs>
        <w:ind w:left="5038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75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647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719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791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863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935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1007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10798" w:hanging="180"/>
      </w:pPr>
      <w:rPr/>
    </w:lvl>
  </w:abstractNum>
  <w:abstractNum w:abstractNumId="2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qFormat/>
    <w:pPr>
      <w:numPr>
        <w:ilvl w:val="0"/>
      </w:numPr>
      <w:ind w:left="5038" w:hanging="0"/>
      <w:outlineLvl w:val="0"/>
    </w:pPr>
    <w:rPr>
      <w:sz w:val="28"/>
      <w:szCs w:val="28"/>
    </w:rPr>
  </w:style>
  <w:style w:type="paragraph" w:styleId="Heading2">
    <w:name w:val="Heading 2"/>
    <w:basedOn w:val="Heading4"/>
    <w:qFormat/>
    <w:pPr>
      <w:outlineLvl w:val="1"/>
    </w:pPr>
    <w:rPr/>
  </w:style>
  <w:style w:type="paragraph" w:styleId="Heading3">
    <w:name w:val="Heading 3"/>
    <w:basedOn w:val="Normal"/>
    <w:qFormat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qFormat/>
    <w:pPr>
      <w:numPr>
        <w:ilvl w:val="1"/>
      </w:numPr>
      <w:outlineLvl w:val="3"/>
    </w:pPr>
    <w:rPr>
      <w:bCs/>
    </w:rPr>
  </w:style>
  <w:style w:type="paragraph" w:styleId="Heading5">
    <w:name w:val="Heading 5"/>
    <w:basedOn w:val="Normal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CaptionChar">
    <w:name w:val="Caption Char"/>
    <w:uiPriority w:val="99"/>
    <w:qFormat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1" w:customStyle="1">
    <w:name w:val="Нижний колонтитул Знак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2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3" w:customStyle="1">
    <w:name w:val="Название Знак"/>
    <w:uiPriority w:val="10"/>
    <w:qFormat/>
    <w:rPr>
      <w:sz w:val="28"/>
    </w:rPr>
  </w:style>
  <w:style w:type="character" w:styleId="Style4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Style5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6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qFormat/>
    <w:rPr>
      <w:sz w:val="28"/>
    </w:rPr>
  </w:style>
  <w:style w:type="character" w:styleId="Style7" w:customStyle="1">
    <w:name w:val="Текст сноски Знак"/>
    <w:uiPriority w:val="99"/>
    <w:qFormat/>
    <w:rPr/>
  </w:style>
  <w:style w:type="character" w:styleId="Style8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9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Style10" w:customStyle="1">
    <w:name w:val="комментарий"/>
    <w:qFormat/>
    <w:rPr>
      <w:b/>
      <w:i/>
      <w:shd w:fill="FFFF99" w:val="clear"/>
    </w:rPr>
  </w:style>
  <w:style w:type="character" w:styleId="Style11" w:customStyle="1">
    <w:name w:val="Подподпункт Знак"/>
    <w:qFormat/>
    <w:rPr>
      <w:sz w:val="26"/>
      <w:szCs w:val="26"/>
    </w:rPr>
  </w:style>
  <w:style w:type="character" w:styleId="31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Style12" w:customStyle="1">
    <w:name w:val="Верхний колонтитул Знак"/>
    <w:uiPriority w:val="99"/>
    <w:qFormat/>
    <w:rPr>
      <w:sz w:val="24"/>
      <w:szCs w:val="24"/>
    </w:rPr>
  </w:style>
  <w:style w:type="character" w:styleId="Style13" w:customStyle="1">
    <w:name w:val="Текст примечания Знак"/>
    <w:semiHidden/>
    <w:qFormat/>
    <w:rPr/>
  </w:style>
  <w:style w:type="character" w:styleId="Style14" w:customStyle="1">
    <w:name w:val="Текст концевой сноски Знак"/>
    <w:basedOn w:val="DefaultParagraphFont"/>
    <w:qFormat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qFormat/>
    <w:rPr>
      <w:b/>
      <w:sz w:val="28"/>
    </w:rPr>
  </w:style>
  <w:style w:type="character" w:styleId="12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qFormat/>
    <w:rPr>
      <w:sz w:val="16"/>
      <w:szCs w:val="16"/>
    </w:rPr>
  </w:style>
  <w:style w:type="character" w:styleId="Style16">
    <w:name w:val="Ссылка указателя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Tableoffigures">
    <w:name w:val="table of figures"/>
    <w:basedOn w:val="Normal"/>
    <w:uiPriority w:val="99"/>
    <w:unhideWhenUsed/>
    <w:qFormat/>
    <w:pPr/>
    <w:rPr/>
  </w:style>
  <w:style w:type="paragraph" w:styleId="Style19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20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1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uiPriority w:val="99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uiPriority w:val="10"/>
    <w:qFormat/>
    <w:pPr>
      <w:jc w:val="center"/>
    </w:pPr>
    <w:rPr>
      <w:szCs w:val="20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3" w:customStyle="1">
    <w:name w:val="Подпункт"/>
    <w:basedOn w:val="Normal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uiPriority w:val="39"/>
    <w:pPr>
      <w:tabs>
        <w:tab w:val="clear" w:pos="708"/>
        <w:tab w:val="left" w:pos="1120" w:leader="none"/>
        <w:tab w:val="right" w:pos="9911" w:leader="dot"/>
      </w:tabs>
      <w:ind w:left="280" w:firstLine="287"/>
    </w:pPr>
    <w:rPr>
      <w:rFonts w:cs="Calibri" w:cstheme="minorHAnsi"/>
      <w:sz w:val="20"/>
      <w:szCs w:val="20"/>
    </w:rPr>
  </w:style>
  <w:style w:type="paragraph" w:styleId="Style24" w:customStyle="1">
    <w:name w:val="Раздел регламента"/>
    <w:basedOn w:val="Normal"/>
    <w:qFormat/>
    <w:pPr/>
    <w:rPr/>
  </w:style>
  <w:style w:type="paragraph" w:styleId="Style25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uiPriority w:val="39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6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uiPriority w:val="99"/>
    <w:unhideWhenUsed/>
    <w:qFormat/>
    <w:pPr/>
    <w:rPr>
      <w:rFonts w:eastAsia="Calibri"/>
      <w:sz w:val="24"/>
      <w:szCs w:val="24"/>
    </w:rPr>
  </w:style>
  <w:style w:type="paragraph" w:styleId="Style27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Arial Unicode MS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Noto Serif CJK SC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9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30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1" w:customStyle="1">
    <w:name w:val="Подподпункт"/>
    <w:basedOn w:val="Style23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</w:rPr>
  </w:style>
  <w:style w:type="paragraph" w:styleId="Style32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3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4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5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</w:style>
  <w:style w:type="numbering" w:styleId="29" w:customStyle="1">
    <w:name w:val="Стиль2"/>
    <w:uiPriority w:val="9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ED6A2-20CD-40F1-B21F-B5D8A936E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AlterOffice/2025.3.1.0$Linux_X86_64 LibreOffice_project/431cd1b79110582f53535c95ed0a2449aadc8bf9</Application>
  <AppVersion>15.0000</AppVersion>
  <Pages>14</Pages>
  <Words>3262</Words>
  <Characters>22853</Characters>
  <CharactersWithSpaces>25876</CharactersWithSpaces>
  <Paragraphs>303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2023-04-19T01:27:00Z</dcterms:created>
  <dc:creator>Быстров Олег Геннадьевич</dc:creator>
  <dc:description/>
  <dc:language>ru-RU</dc:language>
  <cp:lastModifiedBy>lutfullina_ee@DGK.RU</cp:lastModifiedBy>
  <dcterms:modified xsi:type="dcterms:W3CDTF">2026-09-02T11:25:46Z</dcterms:modified>
  <cp:revision>168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